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FBA3AA" w14:textId="77777777" w:rsidR="00230B87" w:rsidRPr="004A4AED" w:rsidRDefault="0065189E" w:rsidP="00186A86">
      <w:pPr>
        <w:jc w:val="center"/>
        <w:rPr>
          <w:rFonts w:ascii="Times New Roman" w:hAnsi="Times New Roman" w:cs="Times New Roman"/>
          <w:b/>
          <w:sz w:val="24"/>
          <w:szCs w:val="24"/>
        </w:rPr>
      </w:pPr>
      <w:bookmarkStart w:id="0" w:name="_GoBack"/>
      <w:bookmarkEnd w:id="0"/>
      <w:r w:rsidRPr="004A4AED">
        <w:rPr>
          <w:rFonts w:ascii="Times New Roman" w:hAnsi="Times New Roman" w:cs="Times New Roman"/>
          <w:b/>
          <w:sz w:val="24"/>
          <w:szCs w:val="24"/>
        </w:rPr>
        <w:t>REGOLAMENTO COMUNALE </w:t>
      </w:r>
    </w:p>
    <w:p w14:paraId="41C27804" w14:textId="31EE553C" w:rsidR="0065189E" w:rsidRPr="004A4AED" w:rsidRDefault="0065189E" w:rsidP="00186A86">
      <w:pPr>
        <w:jc w:val="center"/>
        <w:rPr>
          <w:rFonts w:ascii="Times New Roman" w:hAnsi="Times New Roman" w:cs="Times New Roman"/>
          <w:b/>
          <w:sz w:val="24"/>
          <w:szCs w:val="24"/>
        </w:rPr>
      </w:pPr>
      <w:r w:rsidRPr="004A4AED">
        <w:rPr>
          <w:rFonts w:ascii="Times New Roman" w:hAnsi="Times New Roman" w:cs="Times New Roman"/>
          <w:b/>
          <w:sz w:val="24"/>
          <w:szCs w:val="24"/>
        </w:rPr>
        <w:t>PER </w:t>
      </w:r>
      <w:r w:rsidR="00230B87" w:rsidRPr="004A4AED">
        <w:rPr>
          <w:rFonts w:ascii="Times New Roman" w:hAnsi="Times New Roman" w:cs="Times New Roman"/>
          <w:b/>
          <w:sz w:val="24"/>
          <w:szCs w:val="24"/>
        </w:rPr>
        <w:t xml:space="preserve">LE AREE PER </w:t>
      </w:r>
      <w:r w:rsidR="00FF0F7E" w:rsidRPr="004A4AED">
        <w:rPr>
          <w:rFonts w:ascii="Times New Roman" w:hAnsi="Times New Roman" w:cs="Times New Roman"/>
          <w:b/>
          <w:sz w:val="24"/>
          <w:szCs w:val="24"/>
        </w:rPr>
        <w:t>STANDARD </w:t>
      </w:r>
      <w:r w:rsidR="00230B87" w:rsidRPr="004A4AED">
        <w:rPr>
          <w:rFonts w:ascii="Times New Roman" w:hAnsi="Times New Roman" w:cs="Times New Roman"/>
          <w:b/>
          <w:sz w:val="24"/>
          <w:szCs w:val="24"/>
        </w:rPr>
        <w:t>URBANISTICI</w:t>
      </w:r>
      <w:r w:rsidR="00FA5C63" w:rsidRPr="004A4AED">
        <w:rPr>
          <w:rFonts w:ascii="Times New Roman" w:hAnsi="Times New Roman" w:cs="Times New Roman"/>
          <w:b/>
          <w:sz w:val="24"/>
          <w:szCs w:val="24"/>
        </w:rPr>
        <w:t xml:space="preserve"> E LA MONETIZZAZIONE</w:t>
      </w:r>
    </w:p>
    <w:p w14:paraId="28D6BF1F" w14:textId="1F48BFC2" w:rsidR="00CB04B1" w:rsidRPr="004A4AED" w:rsidRDefault="00B60D7B" w:rsidP="00FA5C63">
      <w:pPr>
        <w:jc w:val="center"/>
        <w:rPr>
          <w:rFonts w:ascii="Times New Roman" w:hAnsi="Times New Roman" w:cs="Times New Roman"/>
          <w:i/>
          <w:iCs/>
          <w:sz w:val="24"/>
          <w:szCs w:val="24"/>
        </w:rPr>
      </w:pPr>
      <w:r w:rsidRPr="004A4AED">
        <w:rPr>
          <w:rFonts w:ascii="Times New Roman" w:hAnsi="Times New Roman" w:cs="Times New Roman"/>
          <w:i/>
          <w:iCs/>
          <w:sz w:val="24"/>
          <w:szCs w:val="24"/>
        </w:rPr>
        <w:t>A norma dell’Art. 24 delle NTA</w:t>
      </w:r>
      <w:r w:rsidR="00825C5E" w:rsidRPr="004A4AED">
        <w:rPr>
          <w:rFonts w:ascii="Times New Roman" w:hAnsi="Times New Roman" w:cs="Times New Roman"/>
          <w:i/>
          <w:iCs/>
          <w:sz w:val="24"/>
          <w:szCs w:val="24"/>
        </w:rPr>
        <w:t xml:space="preserve"> </w:t>
      </w:r>
      <w:r w:rsidRPr="004A4AED">
        <w:rPr>
          <w:rFonts w:ascii="Times New Roman" w:hAnsi="Times New Roman" w:cs="Times New Roman"/>
          <w:i/>
          <w:iCs/>
          <w:sz w:val="24"/>
          <w:szCs w:val="24"/>
        </w:rPr>
        <w:t>“</w:t>
      </w:r>
      <w:r w:rsidR="00825C5E" w:rsidRPr="004A4AED">
        <w:rPr>
          <w:rFonts w:ascii="Times New Roman" w:hAnsi="Times New Roman" w:cs="Times New Roman"/>
          <w:i/>
          <w:iCs/>
          <w:sz w:val="24"/>
          <w:szCs w:val="24"/>
        </w:rPr>
        <w:t>Monetizzazione degli standard urbanistici</w:t>
      </w:r>
      <w:r w:rsidRPr="004A4AED">
        <w:rPr>
          <w:rFonts w:ascii="Times New Roman" w:hAnsi="Times New Roman" w:cs="Times New Roman"/>
          <w:i/>
          <w:iCs/>
          <w:sz w:val="24"/>
          <w:szCs w:val="24"/>
        </w:rPr>
        <w:t>”</w:t>
      </w:r>
    </w:p>
    <w:p w14:paraId="643AB612" w14:textId="57DB5EB8" w:rsidR="00FA5C63" w:rsidRPr="004A4AED" w:rsidRDefault="00FA5C63" w:rsidP="00FA5C63">
      <w:pPr>
        <w:spacing w:line="276" w:lineRule="auto"/>
        <w:ind w:left="357" w:firstLine="0"/>
        <w:rPr>
          <w:rFonts w:ascii="Times New Roman" w:hAnsi="Times New Roman" w:cs="Times New Roman"/>
          <w:b/>
          <w:bCs/>
          <w:sz w:val="24"/>
          <w:szCs w:val="24"/>
        </w:rPr>
      </w:pPr>
      <w:r w:rsidRPr="004A4AED">
        <w:rPr>
          <w:rFonts w:ascii="Times New Roman" w:hAnsi="Times New Roman" w:cs="Times New Roman"/>
          <w:b/>
          <w:bCs/>
          <w:sz w:val="24"/>
          <w:szCs w:val="24"/>
        </w:rPr>
        <w:t>ART. 1 - PREMESS</w:t>
      </w:r>
      <w:r w:rsidR="00195954" w:rsidRPr="004A4AED">
        <w:rPr>
          <w:rFonts w:ascii="Times New Roman" w:hAnsi="Times New Roman" w:cs="Times New Roman"/>
          <w:b/>
          <w:bCs/>
          <w:sz w:val="24"/>
          <w:szCs w:val="24"/>
        </w:rPr>
        <w:t>A</w:t>
      </w:r>
    </w:p>
    <w:p w14:paraId="21BA6119" w14:textId="161BA65B" w:rsidR="00B60D7B"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 La monetizzazione è l’alternativa alla cessione diretta al Comune degli standard urbanistici. La monetizzazione è una procedura che non è finalizzata a diminuire il livello dei servizi pubblici a fronte di introiti monetari. La finalità è quella di far sì che possano essere realizzati spazi pubblici migliori e che dalla rinuncia consapevole a realizzarli in modo dispersivo e/o frammentato derivino somme di denaro sostitutive da destinare esclusivamente all’acquis</w:t>
      </w:r>
      <w:r w:rsidR="0054392E" w:rsidRPr="004A4AED">
        <w:rPr>
          <w:rFonts w:ascii="Times New Roman" w:hAnsi="Times New Roman" w:cs="Times New Roman"/>
          <w:sz w:val="24"/>
          <w:szCs w:val="24"/>
        </w:rPr>
        <w:t>izione ed alla realizzazione d’</w:t>
      </w:r>
      <w:r w:rsidRPr="004A4AED">
        <w:rPr>
          <w:rFonts w:ascii="Times New Roman" w:hAnsi="Times New Roman" w:cs="Times New Roman"/>
          <w:sz w:val="24"/>
          <w:szCs w:val="24"/>
        </w:rPr>
        <w:t xml:space="preserve">infrastrutture capaci di soddisfare i reali bisogni della collettività. La finalità della monetizzazione va ricondotta all’obiettivo di una dotazione di standard qualitativamente migliori e, dal punto di vista della collocazione, maggiormente attinenti alla tipologia necessaria nel contesto di attuazione. La quantità globale di aree per servizi derivante dalle previsioni dello Strumento Urbanistico Generale Comunale, PUC (PRG), deve comunque essere sempre obbligatoriamente garantita almeno nella misura corrispondente ai limiti minimi di legge (D.M. n.1444/68; Allegati alla LR. n.14/82, normativa specifica di settore). </w:t>
      </w:r>
    </w:p>
    <w:p w14:paraId="062BCFDB" w14:textId="77777777" w:rsidR="00B60D7B"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La monetizzazione delle aree a standard consiste nel versamento al Comune di un corrispettivo monetario alternativo alla cessione diretta delle stesse. Fermo restando il principio che prioritariamente l’Amministrazione Comunale ed il soggetto privato proponente dovranno procedere al reperimento ed alla cessione reale degli standard come previsto dalla vigente normativa urbanistica, si potrà procedere alla monetizzazione in luogo della cessione/individuazione qualora sia verificata almeno una delle seguenti condizioni: </w:t>
      </w:r>
    </w:p>
    <w:p w14:paraId="59D1BAE1" w14:textId="1A8804A4" w:rsidR="00B60D7B" w:rsidRPr="004A4AED" w:rsidRDefault="0054392E" w:rsidP="00FA5C63">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Q</w:t>
      </w:r>
      <w:r w:rsidR="00825C5E" w:rsidRPr="004A4AED">
        <w:rPr>
          <w:rFonts w:ascii="Times New Roman" w:hAnsi="Times New Roman" w:cs="Times New Roman"/>
          <w:sz w:val="24"/>
          <w:szCs w:val="24"/>
        </w:rPr>
        <w:t xml:space="preserve">ualora le aree di possibile cessione siano compromesse dalla presenza di servitù, di preesistenze, di impianti tecnologici, ecc. che ne limitino il pieno utilizzo; </w:t>
      </w:r>
    </w:p>
    <w:p w14:paraId="5DFB3E07" w14:textId="3E4FBDD3" w:rsidR="00B60D7B" w:rsidRPr="004A4AED" w:rsidRDefault="0054392E" w:rsidP="00FA5C63">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Q</w:t>
      </w:r>
      <w:r w:rsidR="00825C5E" w:rsidRPr="004A4AED">
        <w:rPr>
          <w:rFonts w:ascii="Times New Roman" w:hAnsi="Times New Roman" w:cs="Times New Roman"/>
          <w:sz w:val="24"/>
          <w:szCs w:val="24"/>
        </w:rPr>
        <w:t xml:space="preserve">ualora l’acquisizione delle aree non risulti conveniente per l’Amministrazione in relazione alla loro estensione, conformazione planimetrica o localizzazione, ed in relazione ai benefici che la collettività può trarne anche in proiezione futura; </w:t>
      </w:r>
    </w:p>
    <w:p w14:paraId="0A8768CA" w14:textId="61053E69" w:rsidR="00B60D7B" w:rsidRPr="004A4AED" w:rsidRDefault="0054392E" w:rsidP="00FA5C63">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I</w:t>
      </w:r>
      <w:r w:rsidR="00825C5E" w:rsidRPr="004A4AED">
        <w:rPr>
          <w:rFonts w:ascii="Times New Roman" w:hAnsi="Times New Roman" w:cs="Times New Roman"/>
          <w:sz w:val="24"/>
          <w:szCs w:val="24"/>
        </w:rPr>
        <w:t xml:space="preserve">n relazione ad interventi edilizi o Piani Attuativi ove non sussista alcun interesse pubblico all’acquisizione delle aree; </w:t>
      </w:r>
    </w:p>
    <w:p w14:paraId="07CBC37C" w14:textId="03FA7D2B" w:rsidR="00B60D7B" w:rsidRPr="004A4AED" w:rsidRDefault="0054392E" w:rsidP="00FA5C63">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Q</w:t>
      </w:r>
      <w:r w:rsidR="00825C5E" w:rsidRPr="004A4AED">
        <w:rPr>
          <w:rFonts w:ascii="Times New Roman" w:hAnsi="Times New Roman" w:cs="Times New Roman"/>
          <w:sz w:val="24"/>
          <w:szCs w:val="24"/>
        </w:rPr>
        <w:t>ualora si dimostri la possibilità e/o l’opportunità di integrare le aree a standard con i servizi esistenti, in aree limitrofe in senso funzionale. Ad esempio, la presenza in zona di impianti sportivi di quartiere, ovvero di scuole, ecc, in relazione alla marginalità delle superfici in cessione</w:t>
      </w:r>
      <w:r w:rsidR="00B60D7B" w:rsidRPr="004A4AED">
        <w:rPr>
          <w:rFonts w:ascii="Times New Roman" w:hAnsi="Times New Roman" w:cs="Times New Roman"/>
          <w:sz w:val="24"/>
          <w:szCs w:val="24"/>
        </w:rPr>
        <w:t>;</w:t>
      </w:r>
      <w:r w:rsidR="00825C5E" w:rsidRPr="004A4AED">
        <w:rPr>
          <w:rFonts w:ascii="Times New Roman" w:hAnsi="Times New Roman" w:cs="Times New Roman"/>
          <w:sz w:val="24"/>
          <w:szCs w:val="24"/>
        </w:rPr>
        <w:t xml:space="preserve"> </w:t>
      </w:r>
    </w:p>
    <w:p w14:paraId="2F172512" w14:textId="16DD44C3" w:rsidR="00B60D7B" w:rsidRPr="004A4AED" w:rsidRDefault="0054392E" w:rsidP="00FA5C63">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Q</w:t>
      </w:r>
      <w:r w:rsidR="00825C5E" w:rsidRPr="004A4AED">
        <w:rPr>
          <w:rFonts w:ascii="Times New Roman" w:hAnsi="Times New Roman" w:cs="Times New Roman"/>
          <w:sz w:val="24"/>
          <w:szCs w:val="24"/>
        </w:rPr>
        <w:t xml:space="preserve">ualora la cessione di tali aree non risulti possibile per particolari motivi amministrativi (mancanza di titoli trascritti, vincoli e/o gravami, ecc); </w:t>
      </w:r>
    </w:p>
    <w:p w14:paraId="25F5DFC9" w14:textId="3CC5DB0C" w:rsidR="00B60D7B" w:rsidRPr="004A4AED" w:rsidRDefault="0054392E" w:rsidP="00FA5C63">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P</w:t>
      </w:r>
      <w:r w:rsidR="00825C5E" w:rsidRPr="004A4AED">
        <w:rPr>
          <w:rFonts w:ascii="Times New Roman" w:hAnsi="Times New Roman" w:cs="Times New Roman"/>
          <w:sz w:val="24"/>
          <w:szCs w:val="24"/>
        </w:rPr>
        <w:t>er quanto riguarda la dotazione di aree a parcheggio, ex L. 122/89, qualora l’intervento edilizio sia localizzato in lotti compromessi, privi di aree scoperte raggiungibili da autoveicoli,</w:t>
      </w:r>
      <w:r w:rsidR="00FA5C63" w:rsidRPr="004A4AED">
        <w:rPr>
          <w:rFonts w:ascii="Times New Roman" w:hAnsi="Times New Roman" w:cs="Times New Roman"/>
          <w:sz w:val="24"/>
          <w:szCs w:val="24"/>
        </w:rPr>
        <w:t xml:space="preserve"> </w:t>
      </w:r>
      <w:r w:rsidR="00825C5E" w:rsidRPr="004A4AED">
        <w:rPr>
          <w:rFonts w:ascii="Times New Roman" w:hAnsi="Times New Roman" w:cs="Times New Roman"/>
          <w:sz w:val="24"/>
          <w:szCs w:val="24"/>
        </w:rPr>
        <w:t xml:space="preserve">ovvero allorquando tale individuazione porti a soluzioni tecniche non idonee dal punto di vista edilizio e urbanistico. </w:t>
      </w:r>
    </w:p>
    <w:p w14:paraId="09C2B83A" w14:textId="4314096F" w:rsidR="00683FD9" w:rsidRPr="004A4AED" w:rsidRDefault="00825C5E" w:rsidP="00CE475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lastRenderedPageBreak/>
        <w:t xml:space="preserve">La presente casistica è applicabile ai casi di ampliamento, sopraelevazione, demolizione e ricostruzione di edifici esistenti, oltre che alle nuove costruzioni. </w:t>
      </w:r>
    </w:p>
    <w:p w14:paraId="0E223668" w14:textId="77777777" w:rsidR="00B60D7B" w:rsidRPr="004A4AED" w:rsidRDefault="00825C5E" w:rsidP="004254C5">
      <w:pPr>
        <w:spacing w:line="276" w:lineRule="auto"/>
        <w:ind w:left="357" w:firstLine="0"/>
        <w:rPr>
          <w:rFonts w:ascii="Times New Roman" w:hAnsi="Times New Roman" w:cs="Times New Roman"/>
          <w:b/>
          <w:bCs/>
          <w:i/>
          <w:iCs/>
          <w:sz w:val="24"/>
          <w:szCs w:val="24"/>
        </w:rPr>
      </w:pPr>
      <w:r w:rsidRPr="004A4AED">
        <w:rPr>
          <w:rFonts w:ascii="Times New Roman" w:hAnsi="Times New Roman" w:cs="Times New Roman"/>
          <w:b/>
          <w:bCs/>
          <w:i/>
          <w:iCs/>
          <w:sz w:val="24"/>
          <w:szCs w:val="24"/>
        </w:rPr>
        <w:t xml:space="preserve">Ai fini del reperimento degli standard si distinguono i seguenti casi: </w:t>
      </w:r>
    </w:p>
    <w:p w14:paraId="518DE323" w14:textId="785BCF45" w:rsidR="00B60D7B"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 standard per parcheggio ad uso privato o pubblico per interventi diretti (ex L.122/89), derivanti o meno dalla applicazione della L.R. n. 19/2009 (cd. Piano Casa)</w:t>
      </w:r>
      <w:r w:rsidR="00015115" w:rsidRPr="004A4AED">
        <w:rPr>
          <w:rFonts w:ascii="Times New Roman" w:hAnsi="Times New Roman" w:cs="Times New Roman"/>
          <w:sz w:val="24"/>
          <w:szCs w:val="24"/>
        </w:rPr>
        <w:t xml:space="preserve"> / legge regionale 10 agosto 2022, n. 13 che disciplina le</w:t>
      </w:r>
      <w:r w:rsidR="00015115" w:rsidRPr="004A4AED">
        <w:rPr>
          <w:rFonts w:ascii="Times New Roman" w:hAnsi="Times New Roman" w:cs="Times New Roman"/>
          <w:i/>
          <w:sz w:val="24"/>
          <w:szCs w:val="24"/>
        </w:rPr>
        <w:t xml:space="preserve"> “Disposizioni in materia di semplificazione edilizia, di rigenerazione urbana e per la riqualificazione del patrimonio edilizio esistente</w:t>
      </w:r>
      <w:r w:rsidR="00015115" w:rsidRPr="004A4AED">
        <w:rPr>
          <w:rFonts w:ascii="Times New Roman" w:hAnsi="Times New Roman" w:cs="Times New Roman"/>
          <w:sz w:val="24"/>
          <w:szCs w:val="24"/>
        </w:rPr>
        <w:t>”</w:t>
      </w:r>
      <w:r w:rsidR="00EA5977" w:rsidRPr="004A4AED">
        <w:rPr>
          <w:rFonts w:ascii="Times New Roman" w:hAnsi="Times New Roman" w:cs="Times New Roman"/>
          <w:sz w:val="24"/>
          <w:szCs w:val="24"/>
        </w:rPr>
        <w:t xml:space="preserve"> ed in generale per il permesso di costruire convenzionato di cui</w:t>
      </w:r>
      <w:r w:rsidR="006F01B6" w:rsidRPr="004A4AED">
        <w:rPr>
          <w:rFonts w:ascii="Times New Roman" w:hAnsi="Times New Roman" w:cs="Times New Roman"/>
          <w:sz w:val="24"/>
          <w:szCs w:val="24"/>
        </w:rPr>
        <w:t xml:space="preserve"> </w:t>
      </w:r>
      <w:r w:rsidR="00EA5977" w:rsidRPr="004A4AED">
        <w:rPr>
          <w:rFonts w:ascii="Times New Roman" w:hAnsi="Times New Roman" w:cs="Times New Roman"/>
          <w:sz w:val="24"/>
          <w:szCs w:val="24"/>
        </w:rPr>
        <w:t>a</w:t>
      </w:r>
      <w:r w:rsidR="006F01B6" w:rsidRPr="004A4AED">
        <w:rPr>
          <w:rFonts w:ascii="Times New Roman" w:hAnsi="Times New Roman" w:cs="Times New Roman"/>
          <w:sz w:val="24"/>
          <w:szCs w:val="24"/>
        </w:rPr>
        <w:t>gli articoli 10 e 28 bis del T.U. 380/01</w:t>
      </w:r>
      <w:r w:rsidRPr="004A4AED">
        <w:rPr>
          <w:rFonts w:ascii="Times New Roman" w:hAnsi="Times New Roman" w:cs="Times New Roman"/>
          <w:sz w:val="24"/>
          <w:szCs w:val="24"/>
        </w:rPr>
        <w:t xml:space="preserve">; </w:t>
      </w:r>
    </w:p>
    <w:p w14:paraId="4B4F87C3" w14:textId="77777777" w:rsidR="00B60D7B"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b) standard per spazi pubblici o riservati alle attività collettive, al verde pubblico o a parcheggi per interventi soggetti a Piano Attuativo (art.10 Reg. Reg. n.5/2011). </w:t>
      </w:r>
    </w:p>
    <w:p w14:paraId="451819B5" w14:textId="77777777" w:rsidR="00683FD9" w:rsidRPr="004A4AED" w:rsidRDefault="00683FD9" w:rsidP="004254C5">
      <w:pPr>
        <w:spacing w:line="276" w:lineRule="auto"/>
        <w:ind w:left="357" w:firstLine="0"/>
        <w:rPr>
          <w:rFonts w:ascii="Times New Roman" w:hAnsi="Times New Roman" w:cs="Times New Roman"/>
          <w:sz w:val="24"/>
          <w:szCs w:val="24"/>
        </w:rPr>
      </w:pPr>
    </w:p>
    <w:p w14:paraId="489F14BD" w14:textId="77777777" w:rsidR="00683FD9"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Il caso di cui alla lett. a) si riferisce in generale ad interventi edilizi a concessione diretta o anche soggetti a piano attuativo, localizzati in aree in cui il tessuto urbano è già definito e consolidato, per cui la cessione e/o l’individuazione di aree a standard può risultare impossibile o comunque dare luogo a cessioni pro forma che però in realtà non soddisfano né l’esigenza pubblica né quella dei privati. Pertanto tali casistiche possono attuarsi nella zona “A” Centro Storico, ovvero nelle zone “B” di completamento residenziale, in particolare ove si operi nelle zone di più antico insediamento urbano. O ancora nelle zone di espansione già attuate e definite dal punto di vista infrastrutturale, nelle quali sussistano dei lotti inedificati e/o resi liberi a seguito di demolizione, ovvero in altri casi in cui, a seguito di fenomeni di sviluppo urbanistico non pianificato, si possono evidenziare situazioni urbanistiche già ben definite e/o compromesse. </w:t>
      </w:r>
    </w:p>
    <w:p w14:paraId="19EB644A" w14:textId="60E39FE4" w:rsidR="00683FD9"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Il caso di cui alla lettera b), si riferisce alle diverse zone urbanistiche che presentano un tessuto edilizio già definito al fine di favorire gli interventi di completamento, o di riqualificazione urbana, e comunque laddove non sia possibile o non sia di interesse collettivo garantire la quota di standard urbanistico attraverso la cessione delle aree, è ammissibile corrispondere un controvalore monetario nella misura come di seguito stabilito. La monetizzazione degli standard non è ammissibile nelle zone omogenee C</w:t>
      </w:r>
      <w:r w:rsidR="00015115" w:rsidRPr="004A4AED">
        <w:rPr>
          <w:rFonts w:ascii="Times New Roman" w:hAnsi="Times New Roman" w:cs="Times New Roman"/>
          <w:sz w:val="24"/>
          <w:szCs w:val="24"/>
        </w:rPr>
        <w:t xml:space="preserve"> (ATc e ATr)</w:t>
      </w:r>
      <w:r w:rsidRPr="004A4AED">
        <w:rPr>
          <w:rFonts w:ascii="Times New Roman" w:hAnsi="Times New Roman" w:cs="Times New Roman"/>
          <w:sz w:val="24"/>
          <w:szCs w:val="24"/>
        </w:rPr>
        <w:t xml:space="preserve">, di totale nuova urbanizzazione e soggette a PUA, salvo specifica deroga, motivata e documentata, da approvarsi con apposita deliberazione consiliare. </w:t>
      </w:r>
    </w:p>
    <w:p w14:paraId="76732540" w14:textId="77777777" w:rsidR="005E1AE7" w:rsidRPr="004A4AED" w:rsidRDefault="005E1AE7" w:rsidP="004254C5">
      <w:pPr>
        <w:spacing w:line="276" w:lineRule="auto"/>
        <w:ind w:left="357" w:firstLine="0"/>
        <w:rPr>
          <w:rFonts w:ascii="Times New Roman" w:hAnsi="Times New Roman" w:cs="Times New Roman"/>
          <w:sz w:val="24"/>
          <w:szCs w:val="24"/>
        </w:rPr>
      </w:pPr>
    </w:p>
    <w:p w14:paraId="3A68F532" w14:textId="77777777" w:rsidR="00683FD9" w:rsidRPr="004A4AED" w:rsidRDefault="00825C5E" w:rsidP="004254C5">
      <w:pPr>
        <w:spacing w:line="276" w:lineRule="auto"/>
        <w:ind w:left="357" w:firstLine="0"/>
        <w:rPr>
          <w:rFonts w:ascii="Times New Roman" w:hAnsi="Times New Roman" w:cs="Times New Roman"/>
          <w:b/>
          <w:sz w:val="24"/>
          <w:szCs w:val="24"/>
        </w:rPr>
      </w:pPr>
      <w:r w:rsidRPr="004A4AED">
        <w:rPr>
          <w:rFonts w:ascii="Times New Roman" w:hAnsi="Times New Roman" w:cs="Times New Roman"/>
          <w:b/>
          <w:sz w:val="24"/>
          <w:szCs w:val="24"/>
        </w:rPr>
        <w:t xml:space="preserve">Disciplina della monetizzazione </w:t>
      </w:r>
    </w:p>
    <w:p w14:paraId="17B9E1F6" w14:textId="2A0BFA10" w:rsidR="00FA5C63"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Per gli interventi edilizi diretti nelle ZTO A, B1, B2, D, e per gli interventi sull’edificato esistente, qualora l’acquisizione delle aree di cui al precedente Articolo, non venga ritenuta opportuna dal Comune in relazione alla loro estensione, conformazione o localizzazione, ovvero in relazione ai programmi comunali di intervento, ovvero laddove il privato non disponga di aree libere nella ZTO d’intervento, gli Uffici dispongono che, in luogo del conferimento (anche parziale) delle aree, venga corrisposta una somma non inferiore al costo necessario per l’acquisizione di altre aree e comunque non inferiore al valore di mercato medio delle aree ricadenti nella stessa ZTO. Tale opportunità è applicabile solo ed esclusivamente laddove, al momento del formarsi del titolo </w:t>
      </w:r>
      <w:r w:rsidRPr="004A4AED">
        <w:rPr>
          <w:rFonts w:ascii="Times New Roman" w:hAnsi="Times New Roman" w:cs="Times New Roman"/>
          <w:sz w:val="24"/>
          <w:szCs w:val="24"/>
        </w:rPr>
        <w:lastRenderedPageBreak/>
        <w:t xml:space="preserve">edilizio da cui scaturisce l’esigenza di standard urbanistici, nell’insieme delle ZTO A, B1, B2, </w:t>
      </w:r>
      <w:r w:rsidR="001C56EE" w:rsidRPr="004A4AED">
        <w:rPr>
          <w:rFonts w:ascii="Times New Roman" w:hAnsi="Times New Roman" w:cs="Times New Roman"/>
          <w:sz w:val="24"/>
          <w:szCs w:val="24"/>
        </w:rPr>
        <w:t>D</w:t>
      </w:r>
      <w:r w:rsidRPr="004A4AED">
        <w:rPr>
          <w:rFonts w:ascii="Times New Roman" w:hAnsi="Times New Roman" w:cs="Times New Roman"/>
          <w:sz w:val="24"/>
          <w:szCs w:val="24"/>
        </w:rPr>
        <w:t xml:space="preserve"> sia comunque già complessivamente rispettatala dotazione minima di spazi pubblici – esistenti e di progetto – di cui al Decreto Interministeriale 2 Aprile 1968, n.1444. Il Consiglio Comunale definisce annualmente, all’atto dell’approvazione del Bilancio di previsione, i costi parametrici relativi alla monetizzazione degli standard di cui al comma precedente. </w:t>
      </w:r>
    </w:p>
    <w:p w14:paraId="27F01EB1" w14:textId="4A436D03" w:rsidR="00015115" w:rsidRPr="004A4AED" w:rsidRDefault="00825C5E"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Inoltre lo stesso Consiglio Comunale programma l’acquisto delle aree a tale scopo destinate. </w:t>
      </w:r>
      <w:r w:rsidR="00015115" w:rsidRPr="004A4AED">
        <w:rPr>
          <w:rFonts w:ascii="Times New Roman" w:hAnsi="Times New Roman" w:cs="Times New Roman"/>
          <w:sz w:val="24"/>
          <w:szCs w:val="24"/>
        </w:rPr>
        <w:t>L’</w:t>
      </w:r>
      <w:r w:rsidRPr="004A4AED">
        <w:rPr>
          <w:rFonts w:ascii="Times New Roman" w:hAnsi="Times New Roman" w:cs="Times New Roman"/>
          <w:sz w:val="24"/>
          <w:szCs w:val="24"/>
        </w:rPr>
        <w:t xml:space="preserve">elenco </w:t>
      </w:r>
      <w:r w:rsidR="00015115" w:rsidRPr="004A4AED">
        <w:rPr>
          <w:rFonts w:ascii="Times New Roman" w:hAnsi="Times New Roman" w:cs="Times New Roman"/>
          <w:sz w:val="24"/>
          <w:szCs w:val="24"/>
        </w:rPr>
        <w:t xml:space="preserve">sarà redatto con gli atti di programmazione del bilancio e </w:t>
      </w:r>
      <w:r w:rsidRPr="004A4AED">
        <w:rPr>
          <w:rFonts w:ascii="Times New Roman" w:hAnsi="Times New Roman" w:cs="Times New Roman"/>
          <w:sz w:val="24"/>
          <w:szCs w:val="24"/>
        </w:rPr>
        <w:t>dovrà obbligatoriamente essere aggiornato mediante la previsione di nuove aree da acquisire secondo le procedure di cui al D.P.R. 327/2001 e ss.mm.ii. affinch</w:t>
      </w:r>
      <w:r w:rsidR="00683FD9" w:rsidRPr="004A4AED">
        <w:rPr>
          <w:rFonts w:ascii="Times New Roman" w:hAnsi="Times New Roman" w:cs="Times New Roman"/>
          <w:sz w:val="24"/>
          <w:szCs w:val="24"/>
        </w:rPr>
        <w:t>é</w:t>
      </w:r>
      <w:r w:rsidRPr="004A4AED">
        <w:rPr>
          <w:rFonts w:ascii="Times New Roman" w:hAnsi="Times New Roman" w:cs="Times New Roman"/>
          <w:sz w:val="24"/>
          <w:szCs w:val="24"/>
        </w:rPr>
        <w:t>, in ogni momento, sia rispettato l’equilibrio tra fabbisogno di spazi pubblici o riservati alle attività collettive, a verde pubblico o a parcheggi di cui agli artt. 3, 4 e 5 del Decreto Interministeriale 2 Aprile 1968, n.1444, risultante dalle quantità previste dalla Legge e dalle presenti Norme e la quantità complessiva di aree, effettivamente già disponibile ovvero oggetto di vincolo preordinato all’esproprio vigente e non decaduto.</w:t>
      </w:r>
    </w:p>
    <w:p w14:paraId="67F69525" w14:textId="77777777" w:rsidR="00CE4755" w:rsidRPr="004A4AED" w:rsidRDefault="00825C5E" w:rsidP="00CE475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Analogamente, qualora l’acquisizione di aree standard conseguenti all’incremento di carico urbanistico previsto nell’ambito dei PUA non venga ritenuta opportuna dal Comune in relazione alla loro estensione, conformazione o localizzazione, ovvero in relazione ai programmi comunali di intervento di altre aree e comunque non inferiore al valore di merca</w:t>
      </w:r>
      <w:r w:rsidR="00CE4755" w:rsidRPr="004A4AED">
        <w:rPr>
          <w:rFonts w:ascii="Times New Roman" w:hAnsi="Times New Roman" w:cs="Times New Roman"/>
          <w:sz w:val="24"/>
          <w:szCs w:val="24"/>
        </w:rPr>
        <w:t>to</w:t>
      </w:r>
      <w:r w:rsidR="00683FD9" w:rsidRPr="004A4AED">
        <w:rPr>
          <w:rFonts w:ascii="Times New Roman" w:hAnsi="Times New Roman" w:cs="Times New Roman"/>
          <w:sz w:val="24"/>
          <w:szCs w:val="24"/>
        </w:rPr>
        <w:t xml:space="preserve">, il Comune può disporre che, in luogo del conferimento (anche parziale) delle aree, venga corrisposta una somma non inferiore al costo necessario per l’acquisizione </w:t>
      </w:r>
      <w:r w:rsidRPr="004A4AED">
        <w:rPr>
          <w:rFonts w:ascii="Times New Roman" w:hAnsi="Times New Roman" w:cs="Times New Roman"/>
          <w:sz w:val="24"/>
          <w:szCs w:val="24"/>
        </w:rPr>
        <w:t xml:space="preserve">to delle aree ricadenti nella stessa </w:t>
      </w:r>
      <w:r w:rsidR="00256C0F" w:rsidRPr="004A4AED">
        <w:rPr>
          <w:rFonts w:ascii="Times New Roman" w:hAnsi="Times New Roman" w:cs="Times New Roman"/>
          <w:sz w:val="24"/>
          <w:szCs w:val="24"/>
        </w:rPr>
        <w:t>ZTO</w:t>
      </w:r>
      <w:r w:rsidRPr="004A4AED">
        <w:rPr>
          <w:rFonts w:ascii="Times New Roman" w:hAnsi="Times New Roman" w:cs="Times New Roman"/>
          <w:sz w:val="24"/>
          <w:szCs w:val="24"/>
        </w:rPr>
        <w:t>. La definitiva approvazione di PUA con monetizzazione degli standard potrà avvenire solo previo accertamento che il maggior carico urbanistico indotto non comporti una riduzione di standard urbanistici ad un valore inferiore ai minimi fissati dalla normativa vigente nell’ambito del complessivo bilancio per standard del PUC. Ciò in ragione delle aree già trasformate ad attrezzature costituenti standard urbanistici, delle aree a ciò destinate già di proprietà del Comune e dei vincoli preordinati all’esproprio, vigenti e non decaduti, di aree da trasformare ad attrezzature costituenti standard urbanistici. In caso contrario, la definitiva approvazione di PUA con monetizzazione degli standard potrà avvenire solo previa acquisizione da parte del Comune delle maggiori aree necessarie a soddisfare il fabbisogno derivante dall’incremento di carico conseguente al PUA con i mezzi finanziari a tal fine anticipati dall’istante.</w:t>
      </w:r>
    </w:p>
    <w:p w14:paraId="3F6F56EE" w14:textId="79C493FD" w:rsidR="00CE4755" w:rsidRPr="004A4AED" w:rsidRDefault="00CE4755" w:rsidP="00CE475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Anche in caso di proposta di monetizzazione, il proponente è obbligato all’individuazione dell’area standard, pena la non ammissibilità dell’intervento</w:t>
      </w:r>
      <w:r w:rsidRPr="004A4AED">
        <w:rPr>
          <w:rFonts w:ascii="Times New Roman" w:hAnsi="Times New Roman" w:cs="Times New Roman"/>
          <w:i/>
          <w:iCs/>
          <w:sz w:val="24"/>
          <w:szCs w:val="24"/>
        </w:rPr>
        <w:t>.</w:t>
      </w:r>
    </w:p>
    <w:p w14:paraId="0C2EB9B2" w14:textId="77777777" w:rsidR="00613ADB" w:rsidRPr="004A4AED" w:rsidRDefault="00613ADB" w:rsidP="004254C5">
      <w:pPr>
        <w:spacing w:line="276" w:lineRule="auto"/>
        <w:ind w:left="357" w:firstLine="0"/>
        <w:rPr>
          <w:rFonts w:ascii="Times New Roman" w:hAnsi="Times New Roman" w:cs="Times New Roman"/>
          <w:sz w:val="24"/>
          <w:szCs w:val="24"/>
        </w:rPr>
      </w:pPr>
    </w:p>
    <w:p w14:paraId="779691FD" w14:textId="77777777" w:rsidR="00CC606E" w:rsidRPr="004A4AED" w:rsidRDefault="002654E8" w:rsidP="004254C5">
      <w:pPr>
        <w:spacing w:line="276" w:lineRule="auto"/>
        <w:ind w:left="357" w:firstLine="0"/>
        <w:rPr>
          <w:rFonts w:ascii="Times New Roman" w:hAnsi="Times New Roman" w:cs="Times New Roman"/>
          <w:b/>
          <w:bCs/>
          <w:sz w:val="24"/>
          <w:szCs w:val="24"/>
        </w:rPr>
      </w:pPr>
      <w:r w:rsidRPr="004A4AED">
        <w:rPr>
          <w:rFonts w:ascii="Times New Roman" w:hAnsi="Times New Roman" w:cs="Times New Roman"/>
          <w:b/>
          <w:bCs/>
          <w:sz w:val="24"/>
          <w:szCs w:val="24"/>
        </w:rPr>
        <w:t>ART. 2 - PROCEDIMENTO</w:t>
      </w:r>
    </w:p>
    <w:p w14:paraId="666B9D2E" w14:textId="03D4B8BE" w:rsidR="007B266F" w:rsidRPr="004A4AED" w:rsidRDefault="002654E8"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Le aree da lasciare a standard o la richiesta di monetizzazione deve</w:t>
      </w:r>
      <w:r w:rsidR="008862BD" w:rsidRPr="004A4AED">
        <w:rPr>
          <w:rFonts w:ascii="Times New Roman" w:hAnsi="Times New Roman" w:cs="Times New Roman"/>
          <w:sz w:val="24"/>
          <w:szCs w:val="24"/>
        </w:rPr>
        <w:t xml:space="preserve"> essere presentata dal titolare </w:t>
      </w:r>
      <w:r w:rsidRPr="004A4AED">
        <w:rPr>
          <w:rFonts w:ascii="Times New Roman" w:hAnsi="Times New Roman" w:cs="Times New Roman"/>
          <w:sz w:val="24"/>
          <w:szCs w:val="24"/>
        </w:rPr>
        <w:t>contestualmente alla richiesta del Permesso di Costruire. L</w:t>
      </w:r>
      <w:r w:rsidR="0065189E" w:rsidRPr="004A4AED">
        <w:rPr>
          <w:rFonts w:ascii="Times New Roman" w:hAnsi="Times New Roman" w:cs="Times New Roman"/>
          <w:sz w:val="24"/>
          <w:szCs w:val="24"/>
        </w:rPr>
        <w:t>’Amministrazione Comunale </w:t>
      </w:r>
      <w:r w:rsidR="008239B0" w:rsidRPr="004A4AED">
        <w:rPr>
          <w:rFonts w:ascii="Times New Roman" w:hAnsi="Times New Roman" w:cs="Times New Roman"/>
          <w:sz w:val="24"/>
          <w:szCs w:val="24"/>
        </w:rPr>
        <w:t xml:space="preserve">avrà la facoltà di decidere </w:t>
      </w:r>
      <w:r w:rsidR="00AE6062" w:rsidRPr="004A4AED">
        <w:rPr>
          <w:rFonts w:ascii="Times New Roman" w:hAnsi="Times New Roman" w:cs="Times New Roman"/>
          <w:sz w:val="24"/>
          <w:szCs w:val="24"/>
        </w:rPr>
        <w:t xml:space="preserve">per </w:t>
      </w:r>
      <w:r w:rsidR="00E631E9" w:rsidRPr="004A4AED">
        <w:rPr>
          <w:rFonts w:ascii="Times New Roman" w:hAnsi="Times New Roman" w:cs="Times New Roman"/>
          <w:sz w:val="24"/>
          <w:szCs w:val="24"/>
        </w:rPr>
        <w:t>gli standard come previsto dalla vigente normativa urbanistica,</w:t>
      </w:r>
      <w:r w:rsidR="0065189E" w:rsidRPr="004A4AED">
        <w:rPr>
          <w:rFonts w:ascii="Times New Roman" w:hAnsi="Times New Roman" w:cs="Times New Roman"/>
          <w:sz w:val="24"/>
          <w:szCs w:val="24"/>
        </w:rPr>
        <w:t xml:space="preserve"> </w:t>
      </w:r>
      <w:r w:rsidR="008239B0" w:rsidRPr="004A4AED">
        <w:rPr>
          <w:rFonts w:ascii="Times New Roman" w:hAnsi="Times New Roman" w:cs="Times New Roman"/>
          <w:sz w:val="24"/>
          <w:szCs w:val="24"/>
        </w:rPr>
        <w:t xml:space="preserve">o </w:t>
      </w:r>
      <w:r w:rsidR="007C38C7" w:rsidRPr="004A4AED">
        <w:rPr>
          <w:rFonts w:ascii="Times New Roman" w:hAnsi="Times New Roman" w:cs="Times New Roman"/>
          <w:sz w:val="24"/>
          <w:szCs w:val="24"/>
        </w:rPr>
        <w:t>qualora si dimostra e si attesta dal soggetto pr</w:t>
      </w:r>
      <w:r w:rsidR="000243DA" w:rsidRPr="004A4AED">
        <w:rPr>
          <w:rFonts w:ascii="Times New Roman" w:hAnsi="Times New Roman" w:cs="Times New Roman"/>
          <w:sz w:val="24"/>
          <w:szCs w:val="24"/>
        </w:rPr>
        <w:t>oponente</w:t>
      </w:r>
      <w:r w:rsidR="007C38C7" w:rsidRPr="004A4AED">
        <w:rPr>
          <w:rFonts w:ascii="Times New Roman" w:hAnsi="Times New Roman" w:cs="Times New Roman"/>
          <w:sz w:val="24"/>
          <w:szCs w:val="24"/>
        </w:rPr>
        <w:t xml:space="preserve"> e verificato dal </w:t>
      </w:r>
      <w:r w:rsidRPr="004A4AED">
        <w:rPr>
          <w:rFonts w:ascii="Times New Roman" w:hAnsi="Times New Roman" w:cs="Times New Roman"/>
          <w:sz w:val="24"/>
          <w:szCs w:val="24"/>
        </w:rPr>
        <w:t xml:space="preserve">RUP, </w:t>
      </w:r>
      <w:r w:rsidR="008862BD" w:rsidRPr="004A4AED">
        <w:rPr>
          <w:rFonts w:ascii="Times New Roman" w:hAnsi="Times New Roman" w:cs="Times New Roman"/>
          <w:sz w:val="24"/>
          <w:szCs w:val="24"/>
        </w:rPr>
        <w:t>il verificarsi di una delle condizioni di cui alla premessa</w:t>
      </w:r>
      <w:r w:rsidR="007C38C7" w:rsidRPr="004A4AED">
        <w:rPr>
          <w:rFonts w:ascii="Times New Roman" w:hAnsi="Times New Roman" w:cs="Times New Roman"/>
          <w:sz w:val="24"/>
          <w:szCs w:val="24"/>
        </w:rPr>
        <w:t>. </w:t>
      </w:r>
      <w:r w:rsidR="0065189E" w:rsidRPr="004A4AED">
        <w:rPr>
          <w:rFonts w:ascii="Times New Roman" w:hAnsi="Times New Roman" w:cs="Times New Roman"/>
          <w:sz w:val="24"/>
          <w:szCs w:val="24"/>
        </w:rPr>
        <w:t xml:space="preserve"> </w:t>
      </w:r>
      <w:r w:rsidR="005E1AE7" w:rsidRPr="004A4AED">
        <w:rPr>
          <w:rFonts w:ascii="Times New Roman" w:hAnsi="Times New Roman" w:cs="Times New Roman"/>
          <w:sz w:val="24"/>
          <w:szCs w:val="24"/>
        </w:rPr>
        <w:t xml:space="preserve">La richiesta potrà essere valutata esclusivamente nelle fattispecie espressamente </w:t>
      </w:r>
      <w:r w:rsidR="00CE4755" w:rsidRPr="004A4AED">
        <w:rPr>
          <w:rFonts w:ascii="Times New Roman" w:hAnsi="Times New Roman" w:cs="Times New Roman"/>
          <w:sz w:val="24"/>
          <w:szCs w:val="24"/>
        </w:rPr>
        <w:t>previste dall’art. 24 delle NTA</w:t>
      </w:r>
      <w:r w:rsidR="005E1AE7" w:rsidRPr="004A4AED">
        <w:rPr>
          <w:rFonts w:ascii="Times New Roman" w:hAnsi="Times New Roman" w:cs="Times New Roman"/>
          <w:sz w:val="24"/>
          <w:szCs w:val="24"/>
        </w:rPr>
        <w:t xml:space="preserve"> </w:t>
      </w:r>
      <w:r w:rsidR="008D7CD9" w:rsidRPr="004A4AED">
        <w:rPr>
          <w:rFonts w:ascii="Times New Roman" w:hAnsi="Times New Roman" w:cs="Times New Roman"/>
          <w:sz w:val="24"/>
          <w:szCs w:val="24"/>
        </w:rPr>
        <w:t>rip</w:t>
      </w:r>
      <w:r w:rsidR="00EA5977" w:rsidRPr="004A4AED">
        <w:rPr>
          <w:rFonts w:ascii="Times New Roman" w:hAnsi="Times New Roman" w:cs="Times New Roman"/>
          <w:sz w:val="24"/>
          <w:szCs w:val="24"/>
        </w:rPr>
        <w:t>ropos</w:t>
      </w:r>
      <w:r w:rsidR="008D7CD9" w:rsidRPr="004A4AED">
        <w:rPr>
          <w:rFonts w:ascii="Times New Roman" w:hAnsi="Times New Roman" w:cs="Times New Roman"/>
          <w:sz w:val="24"/>
          <w:szCs w:val="24"/>
        </w:rPr>
        <w:t>te</w:t>
      </w:r>
      <w:r w:rsidR="0074625C" w:rsidRPr="004A4AED">
        <w:rPr>
          <w:rFonts w:ascii="Times New Roman" w:hAnsi="Times New Roman" w:cs="Times New Roman"/>
          <w:sz w:val="24"/>
          <w:szCs w:val="24"/>
        </w:rPr>
        <w:t xml:space="preserve"> </w:t>
      </w:r>
      <w:r w:rsidR="0074625C" w:rsidRPr="004A4AED">
        <w:rPr>
          <w:rFonts w:ascii="Times New Roman" w:hAnsi="Times New Roman" w:cs="Times New Roman"/>
          <w:sz w:val="24"/>
          <w:szCs w:val="24"/>
          <w:u w:val="single"/>
        </w:rPr>
        <w:t>nell’art. 1 del presente Regolamento</w:t>
      </w:r>
      <w:r w:rsidR="00FA5C63" w:rsidRPr="004A4AED">
        <w:rPr>
          <w:rFonts w:ascii="Times New Roman" w:hAnsi="Times New Roman" w:cs="Times New Roman"/>
          <w:sz w:val="24"/>
          <w:szCs w:val="24"/>
          <w:u w:val="single"/>
        </w:rPr>
        <w:t>.</w:t>
      </w:r>
    </w:p>
    <w:p w14:paraId="4979DABB"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lastRenderedPageBreak/>
        <w:t>In alternativa al pagamento dell’importo dovuto, nel caso di interventi di rilevante importanza è facoltà dell’Amministrazione Comunale, su proposta del Dirigente del Settore, previa deliberazione consiliare, da recepire nella apposita convenzione di lottizzazione, e con idonea garanzia fidejussoria, di convertire il valore delle monetizzazioni nella realizzazione di servizi e/o attrezzature e/o opere pubbliche diverse, purché definitivamente destinate ad attività collettive e cedute gratuitamente al Comune.</w:t>
      </w:r>
    </w:p>
    <w:p w14:paraId="62C91CC9"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In analogia a quanto previsto al comma precedente, in alternativa al pagamento dell’importo dovuto è data facoltà all’Amministrazione Comunale su proposta del Dirigente del Settore, previa deliberazione consiliare, da recepire nella apposita convenzione di PUA, di perequare le aree monetizzabili (e quindi individuate tali) con altre aree convenienti per l’Amministrazione in relazione alla loro estensione, o conformazione planimetrica o localizzazione urbanistica.</w:t>
      </w:r>
    </w:p>
    <w:p w14:paraId="58623797"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La proposta/richiesta di monetizzazione deve essere presentata, dagli aventi titolo, contestualmente alla richiesta del titolo abilitativo edilizio ovvero prima della adozione definitiva del PUA.</w:t>
      </w:r>
    </w:p>
    <w:p w14:paraId="4AFB7D43"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L’ammissione della monetizzazione degli standard sarà definita a seguito di istruttoria del RUP approvata con apposita determinazione dirigenziale, che sarà sottoposta al deliberato della G.C.</w:t>
      </w:r>
    </w:p>
    <w:p w14:paraId="2D015247"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La proposta di monetizzazione può avvenire anche su iniziativa dell’Ufficio</w:t>
      </w:r>
      <w:r w:rsidR="008862BD" w:rsidRPr="004A4AED">
        <w:rPr>
          <w:rFonts w:ascii="Times New Roman" w:hAnsi="Times New Roman" w:cs="Times New Roman"/>
          <w:sz w:val="24"/>
          <w:szCs w:val="24"/>
        </w:rPr>
        <w:t xml:space="preserve"> o su indirizzo dell’Amministrazione in ragione dell’attuazione di atti di programmazione e/o governo del territorio</w:t>
      </w:r>
      <w:r w:rsidRPr="004A4AED">
        <w:rPr>
          <w:rFonts w:ascii="Times New Roman" w:hAnsi="Times New Roman" w:cs="Times New Roman"/>
          <w:sz w:val="24"/>
          <w:szCs w:val="24"/>
        </w:rPr>
        <w:t>, qualora ravvisi una manifesta mancanza di interesse pubblico nella acquisizione di aree marginali e non funzionali agli scopi dell’Amministrazione, ovvero un evidente interesse pubblico nel procedimento di monetizzazione. Tale carenza di interesse dovrà essere deliberata dalla Giunta Comunale;</w:t>
      </w:r>
    </w:p>
    <w:p w14:paraId="26BE2697"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L’Amministrazione Comunale, con atto esplicito del Dirigente del Settore competente, può denegare la proposta di monetizzazione ove verifichi, a seguito </w:t>
      </w:r>
      <w:r w:rsidR="00105A85" w:rsidRPr="004A4AED">
        <w:rPr>
          <w:rFonts w:ascii="Times New Roman" w:hAnsi="Times New Roman" w:cs="Times New Roman"/>
          <w:sz w:val="24"/>
          <w:szCs w:val="24"/>
        </w:rPr>
        <w:t>di</w:t>
      </w:r>
      <w:r w:rsidRPr="004A4AED">
        <w:rPr>
          <w:rFonts w:ascii="Times New Roman" w:hAnsi="Times New Roman" w:cs="Times New Roman"/>
          <w:sz w:val="24"/>
          <w:szCs w:val="24"/>
        </w:rPr>
        <w:t xml:space="preserve"> accertamenti istruttori, che il richiedente il titolo abilitativo edilizio, o il soggetto promotore del PUA, dispone di aree idonee e utili al soddisfacimento degli standard urbanistici.</w:t>
      </w:r>
    </w:p>
    <w:p w14:paraId="67DB3C8E" w14:textId="77777777"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Il prezzo unitario a metro quadro da corrispondere per la monetizzazione delle aree per standard è individuato utilizzando, come principio base, i seguenti criteri: </w:t>
      </w:r>
    </w:p>
    <w:p w14:paraId="60AEFB49" w14:textId="752B6F37" w:rsidR="007B266F" w:rsidRPr="004A4AED" w:rsidRDefault="00AC3810"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P</w:t>
      </w:r>
      <w:r w:rsidR="007B266F" w:rsidRPr="004A4AED">
        <w:rPr>
          <w:rFonts w:ascii="Times New Roman" w:hAnsi="Times New Roman" w:cs="Times New Roman"/>
          <w:sz w:val="24"/>
          <w:szCs w:val="24"/>
        </w:rPr>
        <w:t xml:space="preserve">er le fattispecie di cui alle lett. a) e b) </w:t>
      </w:r>
      <w:r w:rsidR="006F01B6" w:rsidRPr="004A4AED">
        <w:rPr>
          <w:rFonts w:ascii="Times New Roman" w:hAnsi="Times New Roman" w:cs="Times New Roman"/>
          <w:sz w:val="24"/>
          <w:szCs w:val="24"/>
        </w:rPr>
        <w:t>della premessa</w:t>
      </w:r>
      <w:r w:rsidR="007B266F" w:rsidRPr="004A4AED">
        <w:rPr>
          <w:rFonts w:ascii="Times New Roman" w:hAnsi="Times New Roman" w:cs="Times New Roman"/>
          <w:sz w:val="24"/>
          <w:szCs w:val="24"/>
        </w:rPr>
        <w:t>:</w:t>
      </w:r>
    </w:p>
    <w:p w14:paraId="33EB0858" w14:textId="5563DC4C"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Mancata individuazione delle aree private a standard per parcheggio ad uso privato o pubblico per interventi diretti (ex L.122/89), derivanti o meno dalla applicazione della L.R. n. 19/2009 (cd. Piano Casa</w:t>
      </w:r>
      <w:r w:rsidR="0074625C" w:rsidRPr="004A4AED">
        <w:rPr>
          <w:rFonts w:ascii="Times New Roman" w:hAnsi="Times New Roman" w:cs="Times New Roman"/>
          <w:sz w:val="24"/>
          <w:szCs w:val="24"/>
        </w:rPr>
        <w:t xml:space="preserve">) </w:t>
      </w:r>
      <w:r w:rsidR="008862BD" w:rsidRPr="004A4AED">
        <w:rPr>
          <w:rFonts w:ascii="Times New Roman" w:hAnsi="Times New Roman" w:cs="Times New Roman"/>
          <w:sz w:val="24"/>
          <w:szCs w:val="24"/>
        </w:rPr>
        <w:t>/</w:t>
      </w:r>
      <w:r w:rsidR="0074625C" w:rsidRPr="004A4AED">
        <w:rPr>
          <w:rFonts w:ascii="Times New Roman" w:hAnsi="Times New Roman" w:cs="Times New Roman"/>
          <w:sz w:val="24"/>
          <w:szCs w:val="24"/>
        </w:rPr>
        <w:t xml:space="preserve"> legge regionale 10 agosto 2022, n. 13 che disciplina le “Disposizioni in materia di semplificazione edilizia, di rigenerazione urbana e per la riqualificazione del patrimonio edilizio esistente”</w:t>
      </w:r>
      <w:r w:rsidR="006F01B6" w:rsidRPr="004A4AED">
        <w:rPr>
          <w:rFonts w:ascii="Times New Roman" w:hAnsi="Times New Roman" w:cs="Times New Roman"/>
          <w:sz w:val="24"/>
          <w:szCs w:val="24"/>
        </w:rPr>
        <w:t>,</w:t>
      </w:r>
      <w:r w:rsidR="00F408EE" w:rsidRPr="004A4AED">
        <w:rPr>
          <w:rFonts w:ascii="Times New Roman" w:hAnsi="Times New Roman" w:cs="Times New Roman"/>
          <w:sz w:val="24"/>
          <w:szCs w:val="24"/>
        </w:rPr>
        <w:t xml:space="preserve"> ed in generale per il permesso di costruire convenzionato di cui agli artt.</w:t>
      </w:r>
      <w:r w:rsidR="006F01B6" w:rsidRPr="004A4AED">
        <w:rPr>
          <w:rFonts w:ascii="Times New Roman" w:hAnsi="Times New Roman" w:cs="Times New Roman"/>
          <w:sz w:val="24"/>
          <w:szCs w:val="24"/>
        </w:rPr>
        <w:t xml:space="preserve"> 10 e 28 bis del T.U. 380/01,</w:t>
      </w:r>
      <w:r w:rsidR="0074625C" w:rsidRPr="004A4AED">
        <w:rPr>
          <w:rFonts w:ascii="Times New Roman" w:hAnsi="Times New Roman" w:cs="Times New Roman"/>
          <w:sz w:val="24"/>
          <w:szCs w:val="24"/>
        </w:rPr>
        <w:t xml:space="preserve"> </w:t>
      </w:r>
      <w:r w:rsidRPr="004A4AED">
        <w:rPr>
          <w:rFonts w:ascii="Times New Roman" w:hAnsi="Times New Roman" w:cs="Times New Roman"/>
          <w:sz w:val="24"/>
          <w:szCs w:val="24"/>
        </w:rPr>
        <w:t xml:space="preserve">il corrispettivo è fissato nella misura pari al 40% (quaranta per cento) del corrispondente valore di un’area avente le stesse caratteristiche urbanistiche, determinato </w:t>
      </w:r>
      <w:r w:rsidR="004A4AED" w:rsidRPr="004A4AED">
        <w:rPr>
          <w:rFonts w:ascii="Times New Roman" w:hAnsi="Times New Roman" w:cs="Times New Roman"/>
          <w:sz w:val="24"/>
          <w:szCs w:val="24"/>
        </w:rPr>
        <w:t>secondo le valutazioni OMI (Osservatorio Mercato Immobiliare);</w:t>
      </w:r>
    </w:p>
    <w:p w14:paraId="5AABF63A" w14:textId="6C07945C" w:rsidR="007B266F" w:rsidRPr="004A4AED" w:rsidRDefault="0074625C"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La </w:t>
      </w:r>
      <w:r w:rsidR="007B266F" w:rsidRPr="004A4AED">
        <w:rPr>
          <w:rFonts w:ascii="Times New Roman" w:hAnsi="Times New Roman" w:cs="Times New Roman"/>
          <w:sz w:val="24"/>
          <w:szCs w:val="24"/>
        </w:rPr>
        <w:t xml:space="preserve">mancata cessione di standard per spazi pubblici o riservati alle attività collettive, al verde pubblico o a parcheggi per interventi soggetti a Piano Attuativo: il corrispettivo è fissato nella misura pari al 60% (sessanta per cento) del corrispondente valore di un’area non urbanizzata avente </w:t>
      </w:r>
      <w:r w:rsidR="007B266F" w:rsidRPr="004A4AED">
        <w:rPr>
          <w:rFonts w:ascii="Times New Roman" w:hAnsi="Times New Roman" w:cs="Times New Roman"/>
          <w:sz w:val="24"/>
          <w:szCs w:val="24"/>
        </w:rPr>
        <w:lastRenderedPageBreak/>
        <w:t>le stesse caratteristiche urbanistiche, determinato</w:t>
      </w:r>
      <w:r w:rsidR="004A4AED" w:rsidRPr="004A4AED">
        <w:rPr>
          <w:rFonts w:ascii="Times New Roman" w:hAnsi="Times New Roman" w:cs="Times New Roman"/>
          <w:sz w:val="24"/>
          <w:szCs w:val="24"/>
        </w:rPr>
        <w:t xml:space="preserve"> secondo le valutazioni OMI (Osservatorio Mercato Immobiliare)</w:t>
      </w:r>
      <w:r w:rsidR="007B266F" w:rsidRPr="004A4AED">
        <w:rPr>
          <w:rFonts w:ascii="Times New Roman" w:hAnsi="Times New Roman" w:cs="Times New Roman"/>
          <w:sz w:val="24"/>
          <w:szCs w:val="24"/>
        </w:rPr>
        <w:t>;</w:t>
      </w:r>
    </w:p>
    <w:p w14:paraId="34A6289B" w14:textId="1E569994" w:rsidR="007B266F" w:rsidRPr="004A4AED" w:rsidRDefault="0074625C"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Q</w:t>
      </w:r>
      <w:r w:rsidR="007B266F" w:rsidRPr="004A4AED">
        <w:rPr>
          <w:rFonts w:ascii="Times New Roman" w:hAnsi="Times New Roman" w:cs="Times New Roman"/>
          <w:sz w:val="24"/>
          <w:szCs w:val="24"/>
        </w:rPr>
        <w:t>ualora la mancata cessione sia riferita ad aree per parcheggi la cui realizzazione sarebbe dovuta essere a carico del lottizzante, in quanto opere di urbanizzazione primaria, oltre alla somma di cui sopra dovrà essere corrisposto all’Amministrazione Comunale il 100% (cento per cento) dell’importo afferente la manca</w:t>
      </w:r>
      <w:r w:rsidR="008D7CD9" w:rsidRPr="004A4AED">
        <w:rPr>
          <w:rFonts w:ascii="Times New Roman" w:hAnsi="Times New Roman" w:cs="Times New Roman"/>
          <w:sz w:val="24"/>
          <w:szCs w:val="24"/>
        </w:rPr>
        <w:t xml:space="preserve">ta realizzazione di tali opere, </w:t>
      </w:r>
      <w:r w:rsidR="007B266F" w:rsidRPr="004A4AED">
        <w:rPr>
          <w:rFonts w:ascii="Times New Roman" w:hAnsi="Times New Roman" w:cs="Times New Roman"/>
          <w:sz w:val="24"/>
          <w:szCs w:val="24"/>
        </w:rPr>
        <w:t>da aggiornarsi annualmente sulla base dell’indice ISTAT con atto dirigenziale.</w:t>
      </w:r>
      <w:r w:rsidR="00F408EE" w:rsidRPr="004A4AED">
        <w:rPr>
          <w:rFonts w:ascii="Times New Roman" w:hAnsi="Times New Roman" w:cs="Times New Roman"/>
          <w:sz w:val="24"/>
          <w:szCs w:val="24"/>
        </w:rPr>
        <w:t xml:space="preserve">  </w:t>
      </w:r>
    </w:p>
    <w:p w14:paraId="2D62411F" w14:textId="1388DE8A" w:rsidR="007B266F" w:rsidRPr="004A4AED" w:rsidRDefault="00105A85" w:rsidP="00FA5C63">
      <w:pPr>
        <w:spacing w:line="276" w:lineRule="auto"/>
        <w:ind w:left="357" w:firstLine="0"/>
        <w:rPr>
          <w:rFonts w:ascii="Times New Roman" w:hAnsi="Times New Roman" w:cs="Times New Roman"/>
          <w:sz w:val="24"/>
          <w:szCs w:val="24"/>
          <w:u w:val="single"/>
        </w:rPr>
      </w:pPr>
      <w:r w:rsidRPr="004A4AED">
        <w:rPr>
          <w:rFonts w:ascii="Times New Roman" w:hAnsi="Times New Roman" w:cs="Times New Roman"/>
          <w:sz w:val="24"/>
          <w:szCs w:val="24"/>
        </w:rPr>
        <w:t>I</w:t>
      </w:r>
      <w:r w:rsidR="007B266F" w:rsidRPr="004A4AED">
        <w:rPr>
          <w:rFonts w:ascii="Times New Roman" w:hAnsi="Times New Roman" w:cs="Times New Roman"/>
          <w:sz w:val="24"/>
          <w:szCs w:val="24"/>
        </w:rPr>
        <w:t xml:space="preserve"> proventi incassati dal Comune per la monetizzazione </w:t>
      </w:r>
      <w:r w:rsidR="007B266F" w:rsidRPr="004A4AED">
        <w:rPr>
          <w:rFonts w:ascii="Times New Roman" w:hAnsi="Times New Roman" w:cs="Times New Roman"/>
          <w:sz w:val="24"/>
          <w:szCs w:val="24"/>
          <w:u w:val="single"/>
        </w:rPr>
        <w:t>sono da considerarsi fondi a destinazione vincolata da utilizzarsi esclusivamente per l’acquisizione e per la progettazione, realizzazione e allestimento di attrezzature e servizi pubblici, nonché alla realizzazione o riqualificazione di dette opere e servizi e all’abbattimento delle barriere architettoniche negli edifici, spazi e servizi pubblici.</w:t>
      </w:r>
    </w:p>
    <w:p w14:paraId="2D691E93" w14:textId="77777777" w:rsidR="007B266F" w:rsidRPr="004A4AED" w:rsidRDefault="007B266F" w:rsidP="004254C5">
      <w:pPr>
        <w:spacing w:line="276" w:lineRule="auto"/>
        <w:ind w:left="357" w:firstLine="0"/>
        <w:rPr>
          <w:rFonts w:ascii="Times New Roman" w:hAnsi="Times New Roman" w:cs="Times New Roman"/>
          <w:b/>
          <w:bCs/>
          <w:sz w:val="24"/>
          <w:szCs w:val="24"/>
        </w:rPr>
      </w:pPr>
      <w:r w:rsidRPr="004A4AED">
        <w:rPr>
          <w:rFonts w:ascii="Times New Roman" w:hAnsi="Times New Roman" w:cs="Times New Roman"/>
          <w:b/>
          <w:bCs/>
          <w:sz w:val="24"/>
          <w:szCs w:val="24"/>
        </w:rPr>
        <w:t>Le aree oggetto di monetizzazione hanno la destinazione urbanistica di “Verde privato” e pertanto non possiedono alcuna potenzialità volumetrica.</w:t>
      </w:r>
    </w:p>
    <w:p w14:paraId="34C6BEDA" w14:textId="7F95241A" w:rsidR="007B266F" w:rsidRPr="004A4AED" w:rsidRDefault="007B266F"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In tali aree, nel rispetto delle norme tecniche di attuazione del PUC e/o del Piano Attuativo, possono essere comunque realizzate edifici, strutture e impianti legati alla destinazione urbanistica della zona (ad es. ampliamenti, dependance, garage, attrezzature sportive, campetti da gioco, box, gazebo, pergolati, depositi per le zone di tipo residenziale, ecc) la</w:t>
      </w:r>
      <w:r w:rsidR="00017F9E" w:rsidRPr="004A4AED">
        <w:rPr>
          <w:rFonts w:ascii="Times New Roman" w:hAnsi="Times New Roman" w:cs="Times New Roman"/>
          <w:sz w:val="24"/>
          <w:szCs w:val="24"/>
        </w:rPr>
        <w:t xml:space="preserve"> </w:t>
      </w:r>
      <w:r w:rsidRPr="004A4AED">
        <w:rPr>
          <w:rFonts w:ascii="Times New Roman" w:hAnsi="Times New Roman" w:cs="Times New Roman"/>
          <w:sz w:val="24"/>
          <w:szCs w:val="24"/>
        </w:rPr>
        <w:t>cui volumetria derivi da altre aree edificabili.</w:t>
      </w:r>
      <w:r w:rsidR="005B59AE" w:rsidRPr="004A4AED">
        <w:rPr>
          <w:rFonts w:ascii="Times New Roman" w:hAnsi="Times New Roman" w:cs="Times New Roman"/>
          <w:sz w:val="24"/>
          <w:szCs w:val="24"/>
        </w:rPr>
        <w:t xml:space="preserve"> Si specifica pertanto che le aree</w:t>
      </w:r>
      <w:r w:rsidR="00A675AB" w:rsidRPr="004A4AED">
        <w:rPr>
          <w:rFonts w:ascii="Times New Roman" w:hAnsi="Times New Roman" w:cs="Times New Roman"/>
          <w:sz w:val="24"/>
          <w:szCs w:val="24"/>
        </w:rPr>
        <w:t xml:space="preserve"> standard individuate, divenute poi</w:t>
      </w:r>
      <w:r w:rsidR="005B59AE" w:rsidRPr="004A4AED">
        <w:rPr>
          <w:rFonts w:ascii="Times New Roman" w:hAnsi="Times New Roman" w:cs="Times New Roman"/>
          <w:sz w:val="24"/>
          <w:szCs w:val="24"/>
        </w:rPr>
        <w:t xml:space="preserve"> oggetto di monetizzazione se pure</w:t>
      </w:r>
      <w:r w:rsidR="00A675AB" w:rsidRPr="004A4AED">
        <w:rPr>
          <w:rFonts w:ascii="Times New Roman" w:hAnsi="Times New Roman" w:cs="Times New Roman"/>
          <w:sz w:val="24"/>
          <w:szCs w:val="24"/>
        </w:rPr>
        <w:t xml:space="preserve"> possono essere</w:t>
      </w:r>
      <w:r w:rsidR="005B59AE" w:rsidRPr="004A4AED">
        <w:rPr>
          <w:rFonts w:ascii="Times New Roman" w:hAnsi="Times New Roman" w:cs="Times New Roman"/>
          <w:sz w:val="24"/>
          <w:szCs w:val="24"/>
        </w:rPr>
        <w:t xml:space="preserve"> occupate da costruzioni, </w:t>
      </w:r>
      <w:r w:rsidR="00A675AB" w:rsidRPr="004A4AED">
        <w:rPr>
          <w:rFonts w:ascii="Times New Roman" w:hAnsi="Times New Roman" w:cs="Times New Roman"/>
          <w:sz w:val="24"/>
          <w:szCs w:val="24"/>
        </w:rPr>
        <w:t xml:space="preserve">sono aree </w:t>
      </w:r>
      <w:r w:rsidR="004C544D" w:rsidRPr="004A4AED">
        <w:rPr>
          <w:rFonts w:ascii="Times New Roman" w:hAnsi="Times New Roman" w:cs="Times New Roman"/>
          <w:sz w:val="24"/>
          <w:szCs w:val="24"/>
        </w:rPr>
        <w:t xml:space="preserve">prive di indice </w:t>
      </w:r>
      <w:r w:rsidR="00A675AB" w:rsidRPr="004A4AED">
        <w:rPr>
          <w:rFonts w:ascii="Times New Roman" w:hAnsi="Times New Roman" w:cs="Times New Roman"/>
          <w:sz w:val="24"/>
          <w:szCs w:val="24"/>
        </w:rPr>
        <w:t>quindi da</w:t>
      </w:r>
      <w:r w:rsidR="004C544D" w:rsidRPr="004A4AED">
        <w:rPr>
          <w:rFonts w:ascii="Times New Roman" w:hAnsi="Times New Roman" w:cs="Times New Roman"/>
          <w:sz w:val="24"/>
          <w:szCs w:val="24"/>
        </w:rPr>
        <w:t xml:space="preserve"> </w:t>
      </w:r>
      <w:r w:rsidR="00A675AB" w:rsidRPr="004A4AED">
        <w:rPr>
          <w:rFonts w:ascii="Times New Roman" w:hAnsi="Times New Roman" w:cs="Times New Roman"/>
          <w:sz w:val="24"/>
          <w:szCs w:val="24"/>
        </w:rPr>
        <w:t>escludere dal calcolo del volume</w:t>
      </w:r>
      <w:r w:rsidR="004C544D" w:rsidRPr="004A4AED">
        <w:rPr>
          <w:rFonts w:ascii="Times New Roman" w:hAnsi="Times New Roman" w:cs="Times New Roman"/>
          <w:sz w:val="24"/>
          <w:szCs w:val="24"/>
        </w:rPr>
        <w:t>)</w:t>
      </w:r>
      <w:r w:rsidR="005B59AE" w:rsidRPr="004A4AED">
        <w:rPr>
          <w:rFonts w:ascii="Times New Roman" w:hAnsi="Times New Roman" w:cs="Times New Roman"/>
          <w:sz w:val="24"/>
          <w:szCs w:val="24"/>
        </w:rPr>
        <w:t>.</w:t>
      </w:r>
    </w:p>
    <w:p w14:paraId="09B45B24" w14:textId="77777777" w:rsidR="002E4311" w:rsidRPr="004A4AED" w:rsidRDefault="002E4311" w:rsidP="004254C5">
      <w:pPr>
        <w:spacing w:line="276" w:lineRule="auto"/>
        <w:ind w:left="357" w:firstLine="0"/>
        <w:rPr>
          <w:rFonts w:ascii="Times New Roman" w:hAnsi="Times New Roman" w:cs="Times New Roman"/>
          <w:sz w:val="24"/>
          <w:szCs w:val="24"/>
        </w:rPr>
      </w:pPr>
    </w:p>
    <w:p w14:paraId="35A3C9A1" w14:textId="1682415F" w:rsidR="0074625C" w:rsidRPr="004A4AED" w:rsidRDefault="0074625C" w:rsidP="004254C5">
      <w:pPr>
        <w:spacing w:line="276" w:lineRule="auto"/>
        <w:ind w:left="357" w:firstLine="0"/>
        <w:rPr>
          <w:rFonts w:ascii="Times New Roman" w:hAnsi="Times New Roman" w:cs="Times New Roman"/>
          <w:b/>
          <w:bCs/>
          <w:sz w:val="24"/>
          <w:szCs w:val="24"/>
        </w:rPr>
      </w:pPr>
      <w:r w:rsidRPr="004A4AED">
        <w:rPr>
          <w:rFonts w:ascii="Times New Roman" w:hAnsi="Times New Roman" w:cs="Times New Roman"/>
          <w:b/>
          <w:bCs/>
          <w:sz w:val="24"/>
          <w:szCs w:val="24"/>
        </w:rPr>
        <w:t>ART. 3 – CESSIONE STANDARD/MONETIZZAZIONE</w:t>
      </w:r>
      <w:r w:rsidR="006254AE" w:rsidRPr="004A4AED">
        <w:rPr>
          <w:rFonts w:ascii="Times New Roman" w:hAnsi="Times New Roman" w:cs="Times New Roman"/>
          <w:b/>
          <w:bCs/>
          <w:sz w:val="24"/>
          <w:szCs w:val="24"/>
        </w:rPr>
        <w:t>/OPERE DI URBANIZZAZIONE</w:t>
      </w:r>
    </w:p>
    <w:p w14:paraId="56553CDC" w14:textId="77777777" w:rsidR="004B5E41" w:rsidRPr="004A4AED" w:rsidRDefault="0074625C"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La redazione dei PUA e delle attività edilizie che sottendono rilascio di area a standard ex Lege 1444/68</w:t>
      </w:r>
      <w:r w:rsidR="004B5E41" w:rsidRPr="004A4AED">
        <w:rPr>
          <w:rFonts w:ascii="Times New Roman" w:hAnsi="Times New Roman" w:cs="Times New Roman"/>
          <w:sz w:val="24"/>
          <w:szCs w:val="24"/>
        </w:rPr>
        <w:t>;</w:t>
      </w:r>
    </w:p>
    <w:p w14:paraId="261508E5" w14:textId="77777777" w:rsidR="004B5E41" w:rsidRPr="004A4AED" w:rsidRDefault="004B5E4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Il titolo abilitativo è subordinato alla cessione delle aree a standard (frazionamento, cessione, stipula atto, trascrizione;</w:t>
      </w:r>
    </w:p>
    <w:p w14:paraId="69311BD1" w14:textId="77777777" w:rsidR="00DB673D"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Nei casi previsti dalla normativa nazionale e disciplinati dal presente regolamento, la monetizzazione dovrà essere effettuata prima del rilascio del Titolo Abilitativo, n</w:t>
      </w:r>
      <w:r w:rsidR="00DB673D" w:rsidRPr="004A4AED">
        <w:rPr>
          <w:rFonts w:ascii="Times New Roman" w:hAnsi="Times New Roman" w:cs="Times New Roman"/>
          <w:sz w:val="24"/>
          <w:szCs w:val="24"/>
        </w:rPr>
        <w:t>elle seguenti modalità:</w:t>
      </w:r>
    </w:p>
    <w:p w14:paraId="4FA899C9" w14:textId="77777777" w:rsidR="00734902" w:rsidRPr="004A4AED" w:rsidRDefault="00734902" w:rsidP="00DB673D">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P</w:t>
      </w:r>
      <w:r w:rsidR="00084439" w:rsidRPr="004A4AED">
        <w:rPr>
          <w:rFonts w:ascii="Times New Roman" w:hAnsi="Times New Roman" w:cs="Times New Roman"/>
          <w:sz w:val="24"/>
          <w:szCs w:val="24"/>
        </w:rPr>
        <w:t xml:space="preserve">er importi inferiori a 100 000,00 € possibilità di rateizzare in 12 </w:t>
      </w:r>
      <w:r w:rsidR="00FA5C63" w:rsidRPr="004A4AED">
        <w:rPr>
          <w:rFonts w:ascii="Times New Roman" w:hAnsi="Times New Roman" w:cs="Times New Roman"/>
          <w:sz w:val="24"/>
          <w:szCs w:val="24"/>
        </w:rPr>
        <w:t>rate</w:t>
      </w:r>
      <w:r w:rsidR="00084439" w:rsidRPr="004A4AED">
        <w:rPr>
          <w:rFonts w:ascii="Times New Roman" w:hAnsi="Times New Roman" w:cs="Times New Roman"/>
          <w:sz w:val="24"/>
          <w:szCs w:val="24"/>
        </w:rPr>
        <w:t xml:space="preserve"> previa acconto del 30%; </w:t>
      </w:r>
    </w:p>
    <w:p w14:paraId="0DEDB6C9" w14:textId="14E95610" w:rsidR="002E4311" w:rsidRPr="004A4AED" w:rsidRDefault="00734902" w:rsidP="00DB673D">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P</w:t>
      </w:r>
      <w:r w:rsidR="00084439" w:rsidRPr="004A4AED">
        <w:rPr>
          <w:rFonts w:ascii="Times New Roman" w:hAnsi="Times New Roman" w:cs="Times New Roman"/>
          <w:sz w:val="24"/>
          <w:szCs w:val="24"/>
        </w:rPr>
        <w:t>er importi superiori a 100 000,00</w:t>
      </w:r>
      <w:r w:rsidR="007D7AC9" w:rsidRPr="004A4AED">
        <w:rPr>
          <w:rFonts w:ascii="Times New Roman" w:hAnsi="Times New Roman" w:cs="Times New Roman"/>
          <w:sz w:val="24"/>
          <w:szCs w:val="24"/>
        </w:rPr>
        <w:t xml:space="preserve"> €</w:t>
      </w:r>
      <w:r w:rsidR="00084439" w:rsidRPr="004A4AED">
        <w:rPr>
          <w:rFonts w:ascii="Times New Roman" w:hAnsi="Times New Roman" w:cs="Times New Roman"/>
          <w:sz w:val="24"/>
          <w:szCs w:val="24"/>
        </w:rPr>
        <w:t xml:space="preserve"> possibilità di rateizzare in</w:t>
      </w:r>
      <w:r w:rsidR="00DB673D" w:rsidRPr="004A4AED">
        <w:rPr>
          <w:rFonts w:ascii="Times New Roman" w:hAnsi="Times New Roman" w:cs="Times New Roman"/>
          <w:sz w:val="24"/>
          <w:szCs w:val="24"/>
        </w:rPr>
        <w:t xml:space="preserve"> 18 rate previa acconto del 30%. L’importo posto a rateizzazione deve essere coperto da polizza fidejussoria di tipo bancario – assicurativo</w:t>
      </w:r>
      <w:r w:rsidRPr="004A4AED">
        <w:rPr>
          <w:rFonts w:ascii="Times New Roman" w:hAnsi="Times New Roman" w:cs="Times New Roman"/>
          <w:sz w:val="24"/>
          <w:szCs w:val="24"/>
        </w:rPr>
        <w:t xml:space="preserve"> ed il pagamento di tutti i ratei deve essere effettuato prima della comunicazione della Segnalazione Certificata di Agibilità anche parziale</w:t>
      </w:r>
      <w:r w:rsidR="00DB673D" w:rsidRPr="004A4AED">
        <w:rPr>
          <w:rFonts w:ascii="Times New Roman" w:hAnsi="Times New Roman" w:cs="Times New Roman"/>
          <w:sz w:val="24"/>
          <w:szCs w:val="24"/>
        </w:rPr>
        <w:t>.</w:t>
      </w:r>
    </w:p>
    <w:p w14:paraId="39834340" w14:textId="582D4836" w:rsidR="004B5E41" w:rsidRPr="004A4AED" w:rsidRDefault="004B5E4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Il rilascio del titolo abilitativo è subordinato altresì alla realizzazione delle opere di urbanizzazione:</w:t>
      </w:r>
    </w:p>
    <w:p w14:paraId="12701EC9" w14:textId="06D744A9"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b/>
          <w:bCs/>
          <w:sz w:val="24"/>
          <w:szCs w:val="24"/>
        </w:rPr>
        <w:t>Le opere di urbanizzazione PRIMARIA</w:t>
      </w:r>
      <w:r w:rsidRPr="004A4AED">
        <w:rPr>
          <w:rFonts w:ascii="Times New Roman" w:hAnsi="Times New Roman" w:cs="Times New Roman"/>
          <w:sz w:val="24"/>
          <w:szCs w:val="24"/>
        </w:rPr>
        <w:t xml:space="preserve"> </w:t>
      </w:r>
      <w:r w:rsidRPr="004A4AED">
        <w:rPr>
          <w:rFonts w:ascii="Times New Roman" w:hAnsi="Times New Roman" w:cs="Times New Roman"/>
          <w:i/>
          <w:iCs/>
          <w:sz w:val="24"/>
          <w:szCs w:val="24"/>
        </w:rPr>
        <w:t>(art. 4, legge 29 settembre 1964, n. 847)</w:t>
      </w:r>
      <w:r w:rsidRPr="004A4AED">
        <w:rPr>
          <w:rFonts w:ascii="Times New Roman" w:hAnsi="Times New Roman" w:cs="Times New Roman"/>
          <w:sz w:val="24"/>
          <w:szCs w:val="24"/>
        </w:rPr>
        <w:t xml:space="preserve"> </w:t>
      </w:r>
    </w:p>
    <w:p w14:paraId="0B466004"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lastRenderedPageBreak/>
        <w:t>le strade a servizio degli insediamenti, compresi gli allacciamenti alla viabilità principale dei lotti edificabili;</w:t>
      </w:r>
    </w:p>
    <w:p w14:paraId="455646F0"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gli spazi necessari per la sosta e il parcheggio degli autoveicoli, in relazione alle caratteristiche degli insediamenti;</w:t>
      </w:r>
    </w:p>
    <w:p w14:paraId="52831C71"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i condotti idonei alla raccolta ed allo scarico delle acque luride (nere) ed i relativi allacciamenti alla rete principale urbana, compresi gli impianti di depurazione;</w:t>
      </w:r>
    </w:p>
    <w:p w14:paraId="7B52A934"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la rete idrica, costituita dalle condotte per l’erogazione dell’acqua potabile e relative opere per la captazione, il sollevamento ed accessorio, nonché dai necessari condotti d’allacciamento alla rete principale urbana;</w:t>
      </w:r>
    </w:p>
    <w:p w14:paraId="1B0273CF"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la rete per l’erogazione e la distribuzione dell’energia elettrica per usi domestici e industriali comprese le cabine secondarie;</w:t>
      </w:r>
    </w:p>
    <w:p w14:paraId="69BAADE7"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la rete del gas combustibile per uso domestico ed i relativi condotti d’allacciamento;</w:t>
      </w:r>
    </w:p>
    <w:p w14:paraId="786AF790"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la rete telefonica, comprese le centraline telefoniche a servizio degli edifici;</w:t>
      </w:r>
    </w:p>
    <w:p w14:paraId="7A6773D9"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la pubblica illuminazione comprendente le reti e gli impianti per l’illuminazione delle aree e delle strade pubbliche e d’uso pubblico;</w:t>
      </w:r>
    </w:p>
    <w:p w14:paraId="67D1C5B7" w14:textId="6ED4E3E5" w:rsidR="002E431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gli spazi di verde attrezzato, le aree a servizio dei singoli edifici mantenute a verde con alberature ed eventuali attrezzature</w:t>
      </w:r>
      <w:r w:rsidR="00345D91" w:rsidRPr="004A4AED">
        <w:rPr>
          <w:rFonts w:ascii="Times New Roman" w:hAnsi="Times New Roman" w:cs="Times New Roman"/>
          <w:sz w:val="24"/>
          <w:szCs w:val="24"/>
        </w:rPr>
        <w:t>;</w:t>
      </w:r>
    </w:p>
    <w:p w14:paraId="0F23D28A" w14:textId="3DC6EDB1" w:rsidR="00345D91" w:rsidRPr="004A4AED" w:rsidRDefault="00345D9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Infrastrutture di reti pubbliche di comunicazione, di cui agli artt. 87 e 88, (sono assimilate) ad ogni effetto alle opere di urbanizzazione primaria di cui all'art. 16, comma 7, d.p.r. 6 giugno 2001 n. 380</w:t>
      </w:r>
    </w:p>
    <w:p w14:paraId="759AE002" w14:textId="6DD43DB8"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b/>
          <w:bCs/>
          <w:sz w:val="24"/>
          <w:szCs w:val="24"/>
        </w:rPr>
        <w:t>Le opere di urbanizzazione SECONDARIA</w:t>
      </w:r>
      <w:r w:rsidRPr="004A4AED">
        <w:rPr>
          <w:rFonts w:ascii="Times New Roman" w:hAnsi="Times New Roman" w:cs="Times New Roman"/>
          <w:sz w:val="24"/>
          <w:szCs w:val="24"/>
        </w:rPr>
        <w:t xml:space="preserve"> (art. 44, legge n. 865/1971) </w:t>
      </w:r>
    </w:p>
    <w:p w14:paraId="7E21CED0"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gli asili nido</w:t>
      </w:r>
      <w:r w:rsidR="00345D91" w:rsidRPr="004A4AED">
        <w:rPr>
          <w:rFonts w:ascii="Times New Roman" w:hAnsi="Times New Roman" w:cs="Times New Roman"/>
          <w:sz w:val="24"/>
          <w:szCs w:val="24"/>
        </w:rPr>
        <w:t xml:space="preserve"> </w:t>
      </w:r>
      <w:r w:rsidRPr="004A4AED">
        <w:rPr>
          <w:rFonts w:ascii="Times New Roman" w:hAnsi="Times New Roman" w:cs="Times New Roman"/>
          <w:sz w:val="24"/>
          <w:szCs w:val="24"/>
        </w:rPr>
        <w:t>e scuole materne;</w:t>
      </w:r>
    </w:p>
    <w:p w14:paraId="54BDC689"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le scuole dell’obbligo;</w:t>
      </w:r>
    </w:p>
    <w:p w14:paraId="05E82937"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i mercati di quartiere;</w:t>
      </w:r>
    </w:p>
    <w:p w14:paraId="54E704EE"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le delegazioni comunali;</w:t>
      </w:r>
    </w:p>
    <w:p w14:paraId="45FDF603"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le chiese ed altri edifici religiosi;</w:t>
      </w:r>
    </w:p>
    <w:p w14:paraId="542B809D"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gli impianti sportivi di quartiere;</w:t>
      </w:r>
    </w:p>
    <w:p w14:paraId="1A9FB63E"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 xml:space="preserve">i centri sociali e le attrezzature culturali e sanitarie; </w:t>
      </w:r>
    </w:p>
    <w:p w14:paraId="4E997278" w14:textId="5463FAF7" w:rsidR="002E431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le aree verdi di quartiere. Le opere di urbanizzazione.</w:t>
      </w:r>
    </w:p>
    <w:p w14:paraId="6FC94BDE"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Disposizioni speciali </w:t>
      </w:r>
    </w:p>
    <w:p w14:paraId="71B13B5E"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opere ed interventi previsti dalla legge 122/1989 (ex art 11) c.d. parcheggi Tognoli;</w:t>
      </w:r>
    </w:p>
    <w:p w14:paraId="202E3791" w14:textId="77777777" w:rsidR="00345D9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infrastrutture destinate all’installazione di reti e impianti di telecomunicazione elettronica in fibr</w:t>
      </w:r>
      <w:r w:rsidR="00345D91" w:rsidRPr="004A4AED">
        <w:rPr>
          <w:rFonts w:ascii="Times New Roman" w:hAnsi="Times New Roman" w:cs="Times New Roman"/>
          <w:sz w:val="24"/>
          <w:szCs w:val="24"/>
        </w:rPr>
        <w:t xml:space="preserve">a </w:t>
      </w:r>
      <w:r w:rsidRPr="004A4AED">
        <w:rPr>
          <w:rFonts w:ascii="Times New Roman" w:hAnsi="Times New Roman" w:cs="Times New Roman"/>
          <w:sz w:val="24"/>
          <w:szCs w:val="24"/>
        </w:rPr>
        <w:t>ottica (art 2 comma 5 D.L. 112/2008 convertito con legge 133/2008);</w:t>
      </w:r>
    </w:p>
    <w:p w14:paraId="5EA3326D" w14:textId="5E5C90DC" w:rsidR="002E4311" w:rsidRPr="004A4AED" w:rsidRDefault="002E4311" w:rsidP="00345D91">
      <w:pPr>
        <w:pStyle w:val="Paragrafoelenco"/>
        <w:numPr>
          <w:ilvl w:val="0"/>
          <w:numId w:val="7"/>
        </w:numPr>
        <w:spacing w:line="276" w:lineRule="auto"/>
        <w:rPr>
          <w:rFonts w:ascii="Times New Roman" w:hAnsi="Times New Roman" w:cs="Times New Roman"/>
          <w:sz w:val="24"/>
          <w:szCs w:val="24"/>
        </w:rPr>
      </w:pPr>
      <w:r w:rsidRPr="004A4AED">
        <w:rPr>
          <w:rFonts w:ascii="Times New Roman" w:hAnsi="Times New Roman" w:cs="Times New Roman"/>
          <w:sz w:val="24"/>
          <w:szCs w:val="24"/>
        </w:rPr>
        <w:t>impianti cimiteriali (art 26 bis D.L. 415/1989 convertito con legge 38/1990)</w:t>
      </w:r>
    </w:p>
    <w:p w14:paraId="38EC676A" w14:textId="77777777" w:rsidR="00345D91" w:rsidRPr="004A4AED" w:rsidRDefault="00345D91" w:rsidP="00345D91">
      <w:pPr>
        <w:spacing w:line="276" w:lineRule="auto"/>
        <w:ind w:left="357" w:firstLine="0"/>
        <w:jc w:val="left"/>
        <w:rPr>
          <w:rFonts w:ascii="Times New Roman" w:hAnsi="Times New Roman" w:cs="Times New Roman"/>
          <w:sz w:val="24"/>
          <w:szCs w:val="24"/>
        </w:rPr>
      </w:pPr>
    </w:p>
    <w:p w14:paraId="35D26893" w14:textId="661A1E5C" w:rsidR="002E4311" w:rsidRPr="004A4AED" w:rsidRDefault="00345D91" w:rsidP="00345D91">
      <w:pPr>
        <w:spacing w:line="276" w:lineRule="auto"/>
        <w:ind w:left="357" w:firstLine="0"/>
        <w:jc w:val="left"/>
        <w:rPr>
          <w:rFonts w:ascii="Times New Roman" w:hAnsi="Times New Roman" w:cs="Times New Roman"/>
          <w:sz w:val="24"/>
          <w:szCs w:val="24"/>
        </w:rPr>
      </w:pPr>
      <w:r w:rsidRPr="004A4AED">
        <w:rPr>
          <w:rFonts w:ascii="Times New Roman" w:hAnsi="Times New Roman" w:cs="Times New Roman"/>
          <w:sz w:val="24"/>
          <w:szCs w:val="24"/>
        </w:rPr>
        <w:t xml:space="preserve">OPERE DI URBANIZZAZIONE a scomputo </w:t>
      </w:r>
      <w:r w:rsidR="002E4311" w:rsidRPr="004A4AED">
        <w:rPr>
          <w:rFonts w:ascii="Times New Roman" w:hAnsi="Times New Roman" w:cs="Times New Roman"/>
          <w:sz w:val="24"/>
          <w:szCs w:val="24"/>
        </w:rPr>
        <w:t>Il rilascio del permesso di costruire da parte di una amministrazione comporta</w:t>
      </w:r>
      <w:r w:rsidRPr="004A4AED">
        <w:rPr>
          <w:rFonts w:ascii="Times New Roman" w:hAnsi="Times New Roman" w:cs="Times New Roman"/>
          <w:sz w:val="24"/>
          <w:szCs w:val="24"/>
        </w:rPr>
        <w:t xml:space="preserve"> </w:t>
      </w:r>
      <w:r w:rsidR="002E4311" w:rsidRPr="004A4AED">
        <w:rPr>
          <w:rFonts w:ascii="Times New Roman" w:hAnsi="Times New Roman" w:cs="Times New Roman"/>
          <w:sz w:val="24"/>
          <w:szCs w:val="24"/>
        </w:rPr>
        <w:t>per il privato «la corresponsione di un contributo commisurato all'incidenza degli oneri di urbanizzazione nonché al costo di costruzione» (art</w:t>
      </w:r>
      <w:r w:rsidR="00FF396B" w:rsidRPr="004A4AED">
        <w:rPr>
          <w:rFonts w:ascii="Times New Roman" w:hAnsi="Times New Roman" w:cs="Times New Roman"/>
          <w:sz w:val="24"/>
          <w:szCs w:val="24"/>
        </w:rPr>
        <w:t>. 16, comma 1, del decreto del P</w:t>
      </w:r>
      <w:r w:rsidR="002E4311" w:rsidRPr="004A4AED">
        <w:rPr>
          <w:rFonts w:ascii="Times New Roman" w:hAnsi="Times New Roman" w:cs="Times New Roman"/>
          <w:sz w:val="24"/>
          <w:szCs w:val="24"/>
        </w:rPr>
        <w:t xml:space="preserve">residente della Repubblica n. 380/2001). </w:t>
      </w:r>
      <w:r w:rsidR="002E4311" w:rsidRPr="004A4AED">
        <w:rPr>
          <w:rFonts w:ascii="Times New Roman" w:hAnsi="Times New Roman" w:cs="Times New Roman"/>
          <w:sz w:val="24"/>
          <w:szCs w:val="24"/>
        </w:rPr>
        <w:lastRenderedPageBreak/>
        <w:t>Gli oneri di urbanizzazione sono dovuti “in ragione dell'obbligo del privato di partecipare ai costdelle opere di trasformazione del territorio”;</w:t>
      </w:r>
    </w:p>
    <w:p w14:paraId="6402953C" w14:textId="5ABDE298" w:rsidR="002E4311" w:rsidRPr="004A4AED" w:rsidRDefault="002E4311" w:rsidP="00345D91">
      <w:pPr>
        <w:spacing w:line="276" w:lineRule="auto"/>
        <w:ind w:left="357" w:firstLine="0"/>
        <w:jc w:val="left"/>
        <w:rPr>
          <w:rFonts w:ascii="Times New Roman" w:hAnsi="Times New Roman" w:cs="Times New Roman"/>
          <w:sz w:val="24"/>
          <w:szCs w:val="24"/>
        </w:rPr>
      </w:pPr>
      <w:r w:rsidRPr="004A4AED">
        <w:rPr>
          <w:rFonts w:ascii="Times New Roman" w:hAnsi="Times New Roman" w:cs="Times New Roman"/>
          <w:sz w:val="24"/>
          <w:szCs w:val="24"/>
        </w:rPr>
        <w:t>Il legislatore ha previsto con l'art. 11, primo comma, della legge n. 10/1977,</w:t>
      </w:r>
      <w:r w:rsidR="00AC3810" w:rsidRPr="004A4AED">
        <w:rPr>
          <w:rFonts w:ascii="Times New Roman" w:hAnsi="Times New Roman" w:cs="Times New Roman"/>
          <w:sz w:val="24"/>
          <w:szCs w:val="24"/>
        </w:rPr>
        <w:t xml:space="preserve"> </w:t>
      </w:r>
      <w:r w:rsidRPr="004A4AED">
        <w:rPr>
          <w:rFonts w:ascii="Times New Roman" w:hAnsi="Times New Roman" w:cs="Times New Roman"/>
          <w:sz w:val="24"/>
          <w:szCs w:val="24"/>
        </w:rPr>
        <w:t>(ora trasfusa con modifiche nell'art. 16, comma 2 del Testo Unico dell'edilizia),la possibilità di scomputare la quota del contributo relativa agli oneri di urbanizzazione, nel caso in cui il titolare del permesso di costruire o attuatore del piano si obblighi a realizzarle direttamente. Tra l'operatore privato e l'amministrazione viene stipulata una</w:t>
      </w:r>
      <w:r w:rsidR="00345D91" w:rsidRPr="004A4AED">
        <w:rPr>
          <w:rFonts w:ascii="Times New Roman" w:hAnsi="Times New Roman" w:cs="Times New Roman"/>
          <w:sz w:val="24"/>
          <w:szCs w:val="24"/>
        </w:rPr>
        <w:t xml:space="preserve"> </w:t>
      </w:r>
      <w:r w:rsidRPr="004A4AED">
        <w:rPr>
          <w:rFonts w:ascii="Times New Roman" w:hAnsi="Times New Roman" w:cs="Times New Roman"/>
          <w:sz w:val="24"/>
          <w:szCs w:val="24"/>
        </w:rPr>
        <w:t>convenzione che accede al permesso di costruire nella quale vengono regolate le opere da realizzare, i tempi, le modalità della loro esecuzione, la loro valutazione economica e le garanzie dell'adempimento. Lo stesso art. 16 stabilisce che le opere così realizzate sono acquisite al patrimonio indisponibile del Comune. La ratio dell'istituto va individuata nella possibilità offerta</w:t>
      </w:r>
      <w:r w:rsidR="00AC3810" w:rsidRPr="004A4AED">
        <w:rPr>
          <w:rFonts w:ascii="Times New Roman" w:hAnsi="Times New Roman" w:cs="Times New Roman"/>
          <w:sz w:val="24"/>
          <w:szCs w:val="24"/>
        </w:rPr>
        <w:t xml:space="preserve"> </w:t>
      </w:r>
      <w:r w:rsidRPr="004A4AED">
        <w:rPr>
          <w:rFonts w:ascii="Times New Roman" w:hAnsi="Times New Roman" w:cs="Times New Roman"/>
          <w:sz w:val="24"/>
          <w:szCs w:val="24"/>
        </w:rPr>
        <w:t xml:space="preserve">all'amministrazione locale di dotarsi di opere di urbanizzazione senza assumere direttamente i rischi legati alla loro realizzazione.  Tale possibilità è offerta nei limiti </w:t>
      </w:r>
      <w:r w:rsidR="00345D91" w:rsidRPr="004A4AED">
        <w:rPr>
          <w:rFonts w:ascii="Times New Roman" w:hAnsi="Times New Roman" w:cs="Times New Roman"/>
          <w:sz w:val="24"/>
          <w:szCs w:val="24"/>
        </w:rPr>
        <w:t>e nelle modalità previste</w:t>
      </w:r>
      <w:r w:rsidRPr="004A4AED">
        <w:rPr>
          <w:rFonts w:ascii="Times New Roman" w:hAnsi="Times New Roman" w:cs="Times New Roman"/>
          <w:sz w:val="24"/>
          <w:szCs w:val="24"/>
        </w:rPr>
        <w:t xml:space="preserve"> d</w:t>
      </w:r>
      <w:r w:rsidR="00345D91" w:rsidRPr="004A4AED">
        <w:rPr>
          <w:rFonts w:ascii="Times New Roman" w:hAnsi="Times New Roman" w:cs="Times New Roman"/>
          <w:sz w:val="24"/>
          <w:szCs w:val="24"/>
        </w:rPr>
        <w:t>a</w:t>
      </w:r>
      <w:r w:rsidRPr="004A4AED">
        <w:rPr>
          <w:rFonts w:ascii="Times New Roman" w:hAnsi="Times New Roman" w:cs="Times New Roman"/>
          <w:sz w:val="24"/>
          <w:szCs w:val="24"/>
        </w:rPr>
        <w:t>l Codice dei Contratti D.Lgs 36/2023.</w:t>
      </w:r>
    </w:p>
    <w:p w14:paraId="1BBE0481" w14:textId="72FF8507" w:rsidR="00AC3810" w:rsidRPr="004A4AED" w:rsidRDefault="002E4311" w:rsidP="00AC3810">
      <w:pPr>
        <w:spacing w:line="276" w:lineRule="auto"/>
        <w:ind w:left="357" w:firstLine="0"/>
        <w:jc w:val="left"/>
        <w:rPr>
          <w:rFonts w:ascii="Times New Roman" w:hAnsi="Times New Roman" w:cs="Times New Roman"/>
          <w:sz w:val="24"/>
          <w:szCs w:val="24"/>
        </w:rPr>
      </w:pPr>
      <w:r w:rsidRPr="004A4AED">
        <w:rPr>
          <w:rFonts w:ascii="Times New Roman" w:hAnsi="Times New Roman" w:cs="Times New Roman"/>
          <w:sz w:val="24"/>
          <w:szCs w:val="24"/>
        </w:rPr>
        <w:t>Le opere di urbanizzazione dovranno essere realizzate sulla base del rilascio di un titolo</w:t>
      </w:r>
      <w:r w:rsidR="00672C66" w:rsidRPr="004A4AED">
        <w:rPr>
          <w:rFonts w:ascii="Times New Roman" w:hAnsi="Times New Roman" w:cs="Times New Roman"/>
          <w:sz w:val="24"/>
          <w:szCs w:val="24"/>
        </w:rPr>
        <w:t xml:space="preserve"> </w:t>
      </w:r>
      <w:r w:rsidRPr="004A4AED">
        <w:rPr>
          <w:rFonts w:ascii="Times New Roman" w:hAnsi="Times New Roman" w:cs="Times New Roman"/>
          <w:sz w:val="24"/>
          <w:szCs w:val="24"/>
        </w:rPr>
        <w:t xml:space="preserve">abilitativo autonomo e in ogni caso, l’inizio dei lavori di realizzazione delle opere di trasformazione urbana è subordinato </w:t>
      </w:r>
      <w:r w:rsidR="00AC3810" w:rsidRPr="004A4AED">
        <w:rPr>
          <w:rFonts w:ascii="Times New Roman" w:hAnsi="Times New Roman" w:cs="Times New Roman"/>
          <w:sz w:val="24"/>
          <w:szCs w:val="24"/>
        </w:rPr>
        <w:t>alla avvenuta “dichiarazione di fine lavori”</w:t>
      </w:r>
      <w:r w:rsidR="00672C66" w:rsidRPr="004A4AED">
        <w:rPr>
          <w:rFonts w:ascii="Times New Roman" w:hAnsi="Times New Roman" w:cs="Times New Roman"/>
          <w:sz w:val="24"/>
          <w:szCs w:val="24"/>
        </w:rPr>
        <w:t xml:space="preserve"> delle opere di urbanizzazione</w:t>
      </w:r>
      <w:r w:rsidR="00AC3810" w:rsidRPr="004A4AED">
        <w:rPr>
          <w:rFonts w:ascii="Times New Roman" w:hAnsi="Times New Roman" w:cs="Times New Roman"/>
          <w:sz w:val="24"/>
          <w:szCs w:val="24"/>
        </w:rPr>
        <w:t xml:space="preserve">, con l’obbligo di completare il collaudo entro i </w:t>
      </w:r>
      <w:r w:rsidR="006A5313" w:rsidRPr="004A4AED">
        <w:rPr>
          <w:rFonts w:ascii="Times New Roman" w:hAnsi="Times New Roman" w:cs="Times New Roman"/>
          <w:sz w:val="24"/>
          <w:szCs w:val="24"/>
        </w:rPr>
        <w:t>sessanta</w:t>
      </w:r>
      <w:r w:rsidR="00AC3810" w:rsidRPr="004A4AED">
        <w:rPr>
          <w:rFonts w:ascii="Times New Roman" w:hAnsi="Times New Roman" w:cs="Times New Roman"/>
          <w:sz w:val="24"/>
          <w:szCs w:val="24"/>
        </w:rPr>
        <w:t xml:space="preserve"> </w:t>
      </w:r>
      <w:r w:rsidR="006A5313" w:rsidRPr="004A4AED">
        <w:rPr>
          <w:rFonts w:ascii="Times New Roman" w:hAnsi="Times New Roman" w:cs="Times New Roman"/>
          <w:sz w:val="24"/>
          <w:szCs w:val="24"/>
        </w:rPr>
        <w:t>giorni</w:t>
      </w:r>
      <w:r w:rsidR="00AC3810" w:rsidRPr="004A4AED">
        <w:rPr>
          <w:rFonts w:ascii="Times New Roman" w:hAnsi="Times New Roman" w:cs="Times New Roman"/>
          <w:sz w:val="24"/>
          <w:szCs w:val="24"/>
        </w:rPr>
        <w:t xml:space="preserve"> successivi, come prescritto dall’art. 116, comma 2 del D.Lgs 36/2023, pena la decadenza del titolo.</w:t>
      </w:r>
    </w:p>
    <w:p w14:paraId="53F553AC" w14:textId="63BF92D1" w:rsidR="002E4311" w:rsidRPr="004A4AED" w:rsidRDefault="00AC3810" w:rsidP="00AC3810">
      <w:pPr>
        <w:spacing w:line="276" w:lineRule="auto"/>
        <w:ind w:left="357" w:firstLine="0"/>
        <w:jc w:val="left"/>
        <w:rPr>
          <w:rFonts w:ascii="Times New Roman" w:hAnsi="Times New Roman" w:cs="Times New Roman"/>
          <w:sz w:val="24"/>
          <w:szCs w:val="24"/>
        </w:rPr>
      </w:pPr>
      <w:r w:rsidRPr="004A4AED">
        <w:rPr>
          <w:rFonts w:ascii="Times New Roman" w:hAnsi="Times New Roman" w:cs="Times New Roman"/>
          <w:sz w:val="24"/>
          <w:szCs w:val="24"/>
        </w:rPr>
        <w:t xml:space="preserve"> </w:t>
      </w:r>
    </w:p>
    <w:p w14:paraId="0597CCCC"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ART. 3 – MODALITA’</w:t>
      </w:r>
    </w:p>
    <w:p w14:paraId="2B986363"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Negli interventi in ambiti di nuova espansione o di ampliamenti, la superficie da destinare a spazi pubblici o ad attività collettive, a verde pubblico o a parcheggi saranno individuate dall’Amministrazione Comunale, in funzione ai seguenti principi:</w:t>
      </w:r>
    </w:p>
    <w:p w14:paraId="10298610" w14:textId="4770407B"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 ubicazione territoriale che si presta alla fruizione pubblica; </w:t>
      </w:r>
    </w:p>
    <w:p w14:paraId="022DD866" w14:textId="3D8C356D" w:rsidR="002E4311" w:rsidRPr="004A4AED" w:rsidRDefault="002E4311" w:rsidP="00AC3810">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 caratteristiche topografiche ed ambientali dei siti rispondenti a specifici requisiti di funzionalità, accessibilità e di economicità nella futura manutenzione; </w:t>
      </w:r>
    </w:p>
    <w:p w14:paraId="54A2BAA1" w14:textId="30E2DE7A" w:rsidR="002E4311" w:rsidRPr="004A4AED" w:rsidRDefault="002E4311" w:rsidP="00AC3810">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assenza di servitù o preesistenze, impianti tecnologici, elementi naturali che limitino il pieno utilizzo delle aree ovvero emergano problematiche relative all’uso promiscuo di altre aree (es. percorsi di accesso).</w:t>
      </w:r>
    </w:p>
    <w:p w14:paraId="01DE8A9C" w14:textId="18E55C8C" w:rsidR="002E4311" w:rsidRPr="004A4AED" w:rsidRDefault="002E4311" w:rsidP="00CC22D8">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Nello specifico le aree a standard devono essere individuate principalmente su strade pubbliche e non all’interno dei lotti, in modo da essere fruibile dal pubblico, dopo di che l’Amministrazione Comunale, provvederà alla stipula della convenzione, prima del rilascio del titolo</w:t>
      </w:r>
      <w:r w:rsidR="009765D2" w:rsidRPr="004A4AED">
        <w:rPr>
          <w:rFonts w:ascii="Times New Roman" w:hAnsi="Times New Roman" w:cs="Times New Roman"/>
          <w:sz w:val="24"/>
          <w:szCs w:val="24"/>
        </w:rPr>
        <w:t xml:space="preserve"> abilitativo principale</w:t>
      </w:r>
      <w:r w:rsidR="00CF43A7" w:rsidRPr="004A4AED">
        <w:rPr>
          <w:rFonts w:ascii="Times New Roman" w:hAnsi="Times New Roman" w:cs="Times New Roman"/>
          <w:sz w:val="24"/>
          <w:szCs w:val="24"/>
        </w:rPr>
        <w:t>.</w:t>
      </w:r>
      <w:r w:rsidRPr="004A4AED">
        <w:rPr>
          <w:rFonts w:ascii="Times New Roman" w:hAnsi="Times New Roman" w:cs="Times New Roman"/>
          <w:sz w:val="24"/>
          <w:szCs w:val="24"/>
        </w:rPr>
        <w:t xml:space="preserve"> </w:t>
      </w:r>
      <w:r w:rsidR="00CF43A7" w:rsidRPr="004A4AED">
        <w:rPr>
          <w:rFonts w:ascii="Times New Roman" w:hAnsi="Times New Roman" w:cs="Times New Roman"/>
          <w:sz w:val="24"/>
          <w:szCs w:val="24"/>
        </w:rPr>
        <w:t>Le</w:t>
      </w:r>
      <w:r w:rsidRPr="004A4AED">
        <w:rPr>
          <w:rFonts w:ascii="Times New Roman" w:hAnsi="Times New Roman" w:cs="Times New Roman"/>
          <w:sz w:val="24"/>
          <w:szCs w:val="24"/>
        </w:rPr>
        <w:t xml:space="preserve"> opere</w:t>
      </w:r>
      <w:r w:rsidR="00CF43A7" w:rsidRPr="004A4AED">
        <w:rPr>
          <w:rFonts w:ascii="Times New Roman" w:hAnsi="Times New Roman" w:cs="Times New Roman"/>
          <w:sz w:val="24"/>
          <w:szCs w:val="24"/>
        </w:rPr>
        <w:t xml:space="preserve"> relative agli standard urbanistici</w:t>
      </w:r>
      <w:r w:rsidRPr="004A4AED">
        <w:rPr>
          <w:rFonts w:ascii="Times New Roman" w:hAnsi="Times New Roman" w:cs="Times New Roman"/>
          <w:sz w:val="24"/>
          <w:szCs w:val="24"/>
        </w:rPr>
        <w:t xml:space="preserve"> dovranno essere completate</w:t>
      </w:r>
      <w:r w:rsidR="009765D2" w:rsidRPr="004A4AED">
        <w:rPr>
          <w:rFonts w:ascii="Times New Roman" w:hAnsi="Times New Roman" w:cs="Times New Roman"/>
          <w:sz w:val="24"/>
          <w:szCs w:val="24"/>
        </w:rPr>
        <w:t xml:space="preserve"> prima dell’inizio dei lavori delle</w:t>
      </w:r>
      <w:r w:rsidR="00CF43A7" w:rsidRPr="004A4AED">
        <w:rPr>
          <w:rFonts w:ascii="Times New Roman" w:hAnsi="Times New Roman" w:cs="Times New Roman"/>
          <w:sz w:val="24"/>
          <w:szCs w:val="24"/>
        </w:rPr>
        <w:t xml:space="preserve"> opere di trasformazione urbana </w:t>
      </w:r>
      <w:r w:rsidR="00CC22D8" w:rsidRPr="004A4AED">
        <w:rPr>
          <w:rFonts w:ascii="Times New Roman" w:hAnsi="Times New Roman" w:cs="Times New Roman"/>
          <w:sz w:val="24"/>
          <w:szCs w:val="24"/>
        </w:rPr>
        <w:t xml:space="preserve">e collaudate nei sessanta giorni successivi alla chiusura </w:t>
      </w:r>
      <w:r w:rsidR="00CF43A7" w:rsidRPr="004A4AED">
        <w:rPr>
          <w:rFonts w:ascii="Times New Roman" w:hAnsi="Times New Roman" w:cs="Times New Roman"/>
          <w:sz w:val="24"/>
          <w:szCs w:val="24"/>
        </w:rPr>
        <w:t>degli stessi</w:t>
      </w:r>
      <w:r w:rsidR="00CC22D8" w:rsidRPr="004A4AED">
        <w:rPr>
          <w:rFonts w:ascii="Times New Roman" w:hAnsi="Times New Roman" w:cs="Times New Roman"/>
          <w:sz w:val="24"/>
          <w:szCs w:val="24"/>
        </w:rPr>
        <w:t xml:space="preserve"> pena la decadenza del titolo. </w:t>
      </w:r>
      <w:r w:rsidRPr="004A4AED">
        <w:rPr>
          <w:rFonts w:ascii="Times New Roman" w:hAnsi="Times New Roman" w:cs="Times New Roman"/>
          <w:sz w:val="24"/>
          <w:szCs w:val="24"/>
        </w:rPr>
        <w:t>Si precisa, inoltre che se le aree destinate a standard, non intralciano il cantiere</w:t>
      </w:r>
      <w:r w:rsidR="00CF43A7" w:rsidRPr="004A4AED">
        <w:rPr>
          <w:rFonts w:ascii="Times New Roman" w:hAnsi="Times New Roman" w:cs="Times New Roman"/>
          <w:sz w:val="24"/>
          <w:szCs w:val="24"/>
        </w:rPr>
        <w:t xml:space="preserve"> di trasformazione urbana,</w:t>
      </w:r>
      <w:r w:rsidRPr="004A4AED">
        <w:rPr>
          <w:rFonts w:ascii="Times New Roman" w:hAnsi="Times New Roman" w:cs="Times New Roman"/>
          <w:sz w:val="24"/>
          <w:szCs w:val="24"/>
        </w:rPr>
        <w:t xml:space="preserve"> </w:t>
      </w:r>
      <w:r w:rsidR="00084439" w:rsidRPr="004A4AED">
        <w:rPr>
          <w:rFonts w:ascii="Times New Roman" w:hAnsi="Times New Roman" w:cs="Times New Roman"/>
          <w:sz w:val="24"/>
          <w:szCs w:val="24"/>
        </w:rPr>
        <w:t>le opere riferite agli standard</w:t>
      </w:r>
      <w:r w:rsidRPr="004A4AED">
        <w:rPr>
          <w:rFonts w:ascii="Times New Roman" w:hAnsi="Times New Roman" w:cs="Times New Roman"/>
          <w:sz w:val="24"/>
          <w:szCs w:val="24"/>
        </w:rPr>
        <w:t xml:space="preserve"> devono </w:t>
      </w:r>
      <w:r w:rsidRPr="004A4AED">
        <w:rPr>
          <w:rFonts w:ascii="Times New Roman" w:hAnsi="Times New Roman" w:cs="Times New Roman"/>
          <w:sz w:val="24"/>
          <w:szCs w:val="24"/>
        </w:rPr>
        <w:lastRenderedPageBreak/>
        <w:t>essere</w:t>
      </w:r>
      <w:r w:rsidR="009765D2" w:rsidRPr="004A4AED">
        <w:rPr>
          <w:rFonts w:ascii="Times New Roman" w:hAnsi="Times New Roman" w:cs="Times New Roman"/>
          <w:sz w:val="24"/>
          <w:szCs w:val="24"/>
        </w:rPr>
        <w:t xml:space="preserve"> ultimat</w:t>
      </w:r>
      <w:r w:rsidR="00084439" w:rsidRPr="004A4AED">
        <w:rPr>
          <w:rFonts w:ascii="Times New Roman" w:hAnsi="Times New Roman" w:cs="Times New Roman"/>
          <w:sz w:val="24"/>
          <w:szCs w:val="24"/>
        </w:rPr>
        <w:t>e</w:t>
      </w:r>
      <w:r w:rsidR="009765D2" w:rsidRPr="004A4AED">
        <w:rPr>
          <w:rFonts w:ascii="Times New Roman" w:hAnsi="Times New Roman" w:cs="Times New Roman"/>
          <w:sz w:val="24"/>
          <w:szCs w:val="24"/>
        </w:rPr>
        <w:t xml:space="preserve"> e</w:t>
      </w:r>
      <w:r w:rsidRPr="004A4AED">
        <w:rPr>
          <w:rFonts w:ascii="Times New Roman" w:hAnsi="Times New Roman" w:cs="Times New Roman"/>
          <w:sz w:val="24"/>
          <w:szCs w:val="24"/>
        </w:rPr>
        <w:t xml:space="preserve"> </w:t>
      </w:r>
      <w:r w:rsidR="009765D2" w:rsidRPr="004A4AED">
        <w:rPr>
          <w:rFonts w:ascii="Times New Roman" w:hAnsi="Times New Roman" w:cs="Times New Roman"/>
          <w:sz w:val="24"/>
          <w:szCs w:val="24"/>
        </w:rPr>
        <w:t>collaudat</w:t>
      </w:r>
      <w:r w:rsidR="00084439" w:rsidRPr="004A4AED">
        <w:rPr>
          <w:rFonts w:ascii="Times New Roman" w:hAnsi="Times New Roman" w:cs="Times New Roman"/>
          <w:sz w:val="24"/>
          <w:szCs w:val="24"/>
        </w:rPr>
        <w:t>e</w:t>
      </w:r>
      <w:r w:rsidR="009765D2" w:rsidRPr="004A4AED">
        <w:rPr>
          <w:rFonts w:ascii="Times New Roman" w:hAnsi="Times New Roman" w:cs="Times New Roman"/>
          <w:sz w:val="24"/>
          <w:szCs w:val="24"/>
        </w:rPr>
        <w:t xml:space="preserve"> </w:t>
      </w:r>
      <w:r w:rsidR="008A71F8" w:rsidRPr="004A4AED">
        <w:rPr>
          <w:rFonts w:ascii="Times New Roman" w:hAnsi="Times New Roman" w:cs="Times New Roman"/>
          <w:sz w:val="24"/>
          <w:szCs w:val="24"/>
        </w:rPr>
        <w:t xml:space="preserve">prima dell’inizio dei lavori </w:t>
      </w:r>
      <w:r w:rsidR="009765D2" w:rsidRPr="004A4AED">
        <w:rPr>
          <w:rFonts w:ascii="Times New Roman" w:hAnsi="Times New Roman" w:cs="Times New Roman"/>
          <w:sz w:val="24"/>
          <w:szCs w:val="24"/>
        </w:rPr>
        <w:t>del titolo abilitativo principale</w:t>
      </w:r>
      <w:r w:rsidR="00084439" w:rsidRPr="004A4AED">
        <w:rPr>
          <w:rFonts w:ascii="Times New Roman" w:hAnsi="Times New Roman" w:cs="Times New Roman"/>
          <w:sz w:val="24"/>
          <w:szCs w:val="24"/>
        </w:rPr>
        <w:t>, pena l’inefficacia del titolo</w:t>
      </w:r>
      <w:r w:rsidR="00CF43A7" w:rsidRPr="004A4AED">
        <w:rPr>
          <w:rFonts w:ascii="Times New Roman" w:hAnsi="Times New Roman" w:cs="Times New Roman"/>
          <w:sz w:val="24"/>
          <w:szCs w:val="24"/>
        </w:rPr>
        <w:t>.</w:t>
      </w:r>
    </w:p>
    <w:p w14:paraId="09833B59"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ART. 4 – DINIEGO</w:t>
      </w:r>
    </w:p>
    <w:p w14:paraId="0A887B95"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L’Amministrazione Comunale, con atto esplicito del responsabile del settore competente, può negare la proposta di monetizzazione ove verifichi, a seguito dei normali accertamenti istruttori, che il richiedente il titolo abilitativo edilizio, dispone di aree idonee e utili al soddisfacimento delle dotazioni pubbliche.</w:t>
      </w:r>
    </w:p>
    <w:p w14:paraId="30F9CA16" w14:textId="77777777" w:rsidR="002E4311" w:rsidRPr="004A4AED" w:rsidRDefault="002E4311" w:rsidP="004254C5">
      <w:pPr>
        <w:spacing w:line="276" w:lineRule="auto"/>
        <w:ind w:left="357" w:firstLine="0"/>
        <w:rPr>
          <w:rFonts w:ascii="Times New Roman" w:hAnsi="Times New Roman" w:cs="Times New Roman"/>
          <w:sz w:val="24"/>
          <w:szCs w:val="24"/>
        </w:rPr>
      </w:pPr>
    </w:p>
    <w:p w14:paraId="79CA885A"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ART. 5 – DETERMINAZIONE</w:t>
      </w:r>
    </w:p>
    <w:p w14:paraId="69DDE725"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Il calcolo dell'importo corrispondente alla monetizzazione delle aree per standard sarà eseguito con la istruttoria dell’intervento e comunicato al richiedente per l'accettazione e la stipula di una polizza fidejussoria assicurativa o bancaria a garanzia dell'importo determinato, essa costituirà, altresì, elemento essenziale della convenzione/atto d’obbligo unilaterale tra il richiedente ed il Comune, da stipulare prima del rilascio del Permesso di Costruire o atto di assenso ad esso assimilabile. Il versamento dell'importo per la monetizzazione degli standard deve essere eseguito in un'unica soluzione prima del ritiro del Permesso di Costruire, per cui nell'eventualità di un intervento attuato per stralci successivi, ovvero interventi frazionati, il versamento è riferito sempre all’intero intervento e non al singolo stralcio. La polizza fidejussoria di garanzia sarà svincolata all'atto del ritiro del Permesso di Costruire.</w:t>
      </w:r>
    </w:p>
    <w:p w14:paraId="00F9596D" w14:textId="77777777" w:rsidR="002E4311" w:rsidRPr="004A4AED" w:rsidRDefault="002E4311" w:rsidP="004254C5">
      <w:pPr>
        <w:spacing w:line="276" w:lineRule="auto"/>
        <w:ind w:left="357" w:firstLine="0"/>
        <w:rPr>
          <w:rFonts w:ascii="Times New Roman" w:hAnsi="Times New Roman" w:cs="Times New Roman"/>
          <w:sz w:val="24"/>
          <w:szCs w:val="24"/>
        </w:rPr>
      </w:pPr>
    </w:p>
    <w:p w14:paraId="78E85C0C"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Art. 6 – DESTINAZIONE D’USO DELLE AREE MONETIZZATE</w:t>
      </w:r>
    </w:p>
    <w:p w14:paraId="05203412"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Le aree oggetto di monetizzazione, che restano nella disponibilità del proponente avranno destinazione urbanistica “verde privato e/o parcheggio” e, pertanto, non possiedono alcuna potenzialità edificatoria.</w:t>
      </w:r>
    </w:p>
    <w:p w14:paraId="3F7A515C" w14:textId="77777777" w:rsidR="002E4311" w:rsidRPr="004A4AED" w:rsidRDefault="002E4311" w:rsidP="004254C5">
      <w:pPr>
        <w:spacing w:line="276" w:lineRule="auto"/>
        <w:ind w:left="357" w:firstLine="0"/>
        <w:rPr>
          <w:rFonts w:ascii="Times New Roman" w:hAnsi="Times New Roman" w:cs="Times New Roman"/>
          <w:sz w:val="24"/>
          <w:szCs w:val="24"/>
        </w:rPr>
      </w:pPr>
    </w:p>
    <w:p w14:paraId="52900073"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 xml:space="preserve">Art. 7 – DISPOSIZIONI FINALI </w:t>
      </w:r>
    </w:p>
    <w:p w14:paraId="796E274C" w14:textId="77777777" w:rsidR="002E4311" w:rsidRPr="004A4AED" w:rsidRDefault="002E4311" w:rsidP="004254C5">
      <w:pPr>
        <w:spacing w:line="276" w:lineRule="auto"/>
        <w:ind w:left="357" w:firstLine="0"/>
        <w:rPr>
          <w:rFonts w:ascii="Times New Roman" w:hAnsi="Times New Roman" w:cs="Times New Roman"/>
          <w:sz w:val="24"/>
          <w:szCs w:val="24"/>
        </w:rPr>
      </w:pPr>
      <w:r w:rsidRPr="004A4AED">
        <w:rPr>
          <w:rFonts w:ascii="Times New Roman" w:hAnsi="Times New Roman" w:cs="Times New Roman"/>
          <w:sz w:val="24"/>
          <w:szCs w:val="24"/>
        </w:rPr>
        <w:t>Il presente Regolamento entra in vigore alla data di esecutività della delibera di approvazione</w:t>
      </w:r>
    </w:p>
    <w:p w14:paraId="0275E64E" w14:textId="46752EFD" w:rsidR="008805C5" w:rsidRPr="004A4AED" w:rsidRDefault="008805C5" w:rsidP="003B405D">
      <w:pPr>
        <w:spacing w:after="0" w:line="276" w:lineRule="auto"/>
        <w:ind w:left="357" w:firstLine="0"/>
        <w:rPr>
          <w:rFonts w:ascii="Times New Roman" w:hAnsi="Times New Roman" w:cs="Times New Roman"/>
          <w:sz w:val="24"/>
          <w:szCs w:val="24"/>
        </w:rPr>
      </w:pPr>
    </w:p>
    <w:p w14:paraId="4E6EA56B" w14:textId="77777777" w:rsidR="003B405D" w:rsidRPr="004A4AED" w:rsidRDefault="003B405D" w:rsidP="003B405D">
      <w:pPr>
        <w:spacing w:after="0" w:line="276" w:lineRule="auto"/>
        <w:ind w:left="357" w:firstLine="0"/>
        <w:rPr>
          <w:rFonts w:ascii="Times New Roman" w:hAnsi="Times New Roman" w:cs="Times New Roman"/>
          <w:sz w:val="24"/>
          <w:szCs w:val="24"/>
        </w:rPr>
      </w:pPr>
    </w:p>
    <w:p w14:paraId="25A400DF" w14:textId="4540E15B" w:rsidR="003B405D" w:rsidRPr="004A4AED" w:rsidRDefault="003B405D" w:rsidP="003B405D">
      <w:pPr>
        <w:spacing w:after="0" w:line="276" w:lineRule="auto"/>
        <w:ind w:left="357" w:firstLine="0"/>
        <w:jc w:val="right"/>
        <w:rPr>
          <w:rFonts w:ascii="Times New Roman" w:hAnsi="Times New Roman" w:cs="Times New Roman"/>
          <w:sz w:val="24"/>
          <w:szCs w:val="24"/>
        </w:rPr>
      </w:pPr>
      <w:r w:rsidRPr="004A4AED">
        <w:rPr>
          <w:rFonts w:ascii="Times New Roman" w:hAnsi="Times New Roman" w:cs="Times New Roman"/>
          <w:sz w:val="24"/>
          <w:szCs w:val="24"/>
        </w:rPr>
        <w:t>Il Responsabile dell’Area Tecnica</w:t>
      </w:r>
    </w:p>
    <w:p w14:paraId="2875AB7F" w14:textId="6ECDA66B" w:rsidR="003B405D" w:rsidRPr="004A4AED" w:rsidRDefault="003B405D" w:rsidP="003B405D">
      <w:pPr>
        <w:spacing w:after="0" w:line="276" w:lineRule="auto"/>
        <w:ind w:left="357" w:firstLine="0"/>
        <w:jc w:val="right"/>
        <w:rPr>
          <w:rFonts w:ascii="Times New Roman" w:hAnsi="Times New Roman" w:cs="Times New Roman"/>
          <w:i/>
          <w:sz w:val="20"/>
          <w:szCs w:val="20"/>
        </w:rPr>
      </w:pPr>
      <w:r w:rsidRPr="004A4AED">
        <w:rPr>
          <w:rFonts w:ascii="Times New Roman" w:hAnsi="Times New Roman" w:cs="Times New Roman"/>
          <w:i/>
          <w:sz w:val="20"/>
          <w:szCs w:val="20"/>
        </w:rPr>
        <w:t>Urbanistica – Edilizia Privata e SUAP</w:t>
      </w:r>
    </w:p>
    <w:p w14:paraId="5252D2D2" w14:textId="77777777" w:rsidR="003B405D" w:rsidRPr="004A4AED" w:rsidRDefault="003B405D" w:rsidP="003B405D">
      <w:pPr>
        <w:spacing w:after="0" w:line="276" w:lineRule="auto"/>
        <w:ind w:left="357" w:firstLine="0"/>
        <w:jc w:val="right"/>
        <w:rPr>
          <w:rFonts w:ascii="Times New Roman" w:hAnsi="Times New Roman" w:cs="Times New Roman"/>
          <w:i/>
          <w:sz w:val="20"/>
          <w:szCs w:val="20"/>
        </w:rPr>
      </w:pPr>
    </w:p>
    <w:p w14:paraId="62764337" w14:textId="7FEA3676" w:rsidR="003B405D" w:rsidRPr="004A4AED" w:rsidRDefault="003B405D" w:rsidP="003B405D">
      <w:pPr>
        <w:spacing w:line="276" w:lineRule="auto"/>
        <w:ind w:left="357" w:firstLine="0"/>
        <w:jc w:val="right"/>
        <w:rPr>
          <w:rFonts w:ascii="Times New Roman" w:hAnsi="Times New Roman" w:cs="Times New Roman"/>
          <w:sz w:val="24"/>
          <w:szCs w:val="24"/>
        </w:rPr>
      </w:pPr>
      <w:r w:rsidRPr="004A4AED">
        <w:rPr>
          <w:rFonts w:ascii="Times New Roman" w:hAnsi="Times New Roman" w:cs="Times New Roman"/>
          <w:sz w:val="24"/>
          <w:szCs w:val="24"/>
        </w:rPr>
        <w:t>Arch. Giuseppe Caputo</w:t>
      </w:r>
    </w:p>
    <w:p w14:paraId="71430F16" w14:textId="77777777" w:rsidR="004A4AED" w:rsidRPr="004A4AED" w:rsidRDefault="004A4AED">
      <w:pPr>
        <w:spacing w:line="276" w:lineRule="auto"/>
        <w:ind w:left="357" w:firstLine="0"/>
        <w:jc w:val="right"/>
        <w:rPr>
          <w:rFonts w:ascii="Times New Roman" w:hAnsi="Times New Roman" w:cs="Times New Roman"/>
          <w:sz w:val="24"/>
          <w:szCs w:val="24"/>
        </w:rPr>
      </w:pPr>
    </w:p>
    <w:sectPr w:rsidR="004A4AED" w:rsidRPr="004A4AED" w:rsidSect="00CB04B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3ECB0" w14:textId="77777777" w:rsidR="009F1973" w:rsidRDefault="009F1973" w:rsidP="00017F9E">
      <w:pPr>
        <w:spacing w:after="0" w:line="240" w:lineRule="auto"/>
      </w:pPr>
      <w:r>
        <w:separator/>
      </w:r>
    </w:p>
  </w:endnote>
  <w:endnote w:type="continuationSeparator" w:id="0">
    <w:p w14:paraId="66620FB2" w14:textId="77777777" w:rsidR="009F1973" w:rsidRDefault="009F1973" w:rsidP="00017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ndale Sans UI">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E4F39A" w14:textId="77777777" w:rsidR="009F1973" w:rsidRDefault="009F1973" w:rsidP="00017F9E">
      <w:pPr>
        <w:spacing w:after="0" w:line="240" w:lineRule="auto"/>
      </w:pPr>
      <w:r>
        <w:separator/>
      </w:r>
    </w:p>
  </w:footnote>
  <w:footnote w:type="continuationSeparator" w:id="0">
    <w:p w14:paraId="29F7D291" w14:textId="77777777" w:rsidR="009F1973" w:rsidRDefault="009F1973" w:rsidP="00017F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imes New Roman" w:eastAsia="Andale Sans UI" w:hAnsi="Times New Roman" w:cs="Times New Roman" w:hint="default"/>
        <w:b w:val="0"/>
        <w:bCs/>
        <w:i w:val="0"/>
        <w:iCs/>
        <w:color w:val="000000"/>
        <w:sz w:val="28"/>
        <w:szCs w:val="28"/>
        <w:lang w:val="de-DE" w:eastAsia="fa-IR" w:bidi="fa-IR"/>
      </w:rPr>
    </w:lvl>
    <w:lvl w:ilvl="1">
      <w:start w:val="3"/>
      <w:numFmt w:val="bullet"/>
      <w:lvlText w:val="-"/>
      <w:lvlJc w:val="left"/>
      <w:pPr>
        <w:tabs>
          <w:tab w:val="num" w:pos="0"/>
        </w:tabs>
        <w:ind w:left="1080" w:hanging="360"/>
      </w:pPr>
      <w:rPr>
        <w:rFonts w:ascii="Times New Roman" w:hAnsi="Times New Roman" w:cs="Times New Roman" w:hint="default"/>
        <w:i/>
        <w:color w:val="000000"/>
        <w:lang w:val="it-IT" w:eastAsia="ar-SA" w:bidi="ar-SA"/>
      </w:rPr>
    </w:lvl>
    <w:lvl w:ilvl="2">
      <w:start w:val="1"/>
      <w:numFmt w:val="lowerRoman"/>
      <w:lvlText w:val="%3."/>
      <w:lvlJc w:val="right"/>
      <w:pPr>
        <w:tabs>
          <w:tab w:val="num" w:pos="0"/>
        </w:tabs>
        <w:ind w:left="1800" w:hanging="180"/>
      </w:pPr>
      <w:rPr>
        <w:rFonts w:ascii="Times New Roman" w:eastAsia="Times New Roman" w:hAnsi="Times New Roman" w:cs="Times New Roman" w:hint="default"/>
      </w:r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360" w:hanging="360"/>
      </w:pPr>
      <w:rPr>
        <w:rFonts w:ascii="Wingdings" w:hAnsi="Wingdings" w:cs="Times New Roman"/>
        <w:b/>
        <w:sz w:val="28"/>
        <w:szCs w:val="28"/>
        <w:lang w:val="it-IT"/>
      </w:rPr>
    </w:lvl>
  </w:abstractNum>
  <w:abstractNum w:abstractNumId="2" w15:restartNumberingAfterBreak="0">
    <w:nsid w:val="07D1124B"/>
    <w:multiLevelType w:val="hybridMultilevel"/>
    <w:tmpl w:val="CCFEAE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24A48DA"/>
    <w:multiLevelType w:val="hybridMultilevel"/>
    <w:tmpl w:val="715EB12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F1B3C1E"/>
    <w:multiLevelType w:val="hybridMultilevel"/>
    <w:tmpl w:val="2BA0EDAA"/>
    <w:lvl w:ilvl="0" w:tplc="6EE83380">
      <w:numFmt w:val="bullet"/>
      <w:lvlText w:val="-"/>
      <w:lvlJc w:val="left"/>
      <w:pPr>
        <w:ind w:left="717" w:hanging="360"/>
      </w:pPr>
      <w:rPr>
        <w:rFonts w:ascii="Times New Roman" w:eastAsiaTheme="minorHAnsi"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5" w15:restartNumberingAfterBreak="0">
    <w:nsid w:val="71AB7A55"/>
    <w:multiLevelType w:val="hybridMultilevel"/>
    <w:tmpl w:val="DBC4824E"/>
    <w:lvl w:ilvl="0" w:tplc="D3CCD020">
      <w:start w:val="14"/>
      <w:numFmt w:val="bullet"/>
      <w:lvlText w:val="-"/>
      <w:lvlJc w:val="left"/>
      <w:pPr>
        <w:ind w:left="720" w:hanging="360"/>
      </w:pPr>
      <w:rPr>
        <w:rFonts w:ascii="Calibri" w:eastAsia="Andale Sans U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DBD2048"/>
    <w:multiLevelType w:val="hybridMultilevel"/>
    <w:tmpl w:val="8CA63120"/>
    <w:lvl w:ilvl="0" w:tplc="EBC8F898">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964"/>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89E"/>
    <w:rsid w:val="00014600"/>
    <w:rsid w:val="00015115"/>
    <w:rsid w:val="00017F9E"/>
    <w:rsid w:val="000243DA"/>
    <w:rsid w:val="00073475"/>
    <w:rsid w:val="00084439"/>
    <w:rsid w:val="00084ADC"/>
    <w:rsid w:val="000904BE"/>
    <w:rsid w:val="00094CBD"/>
    <w:rsid w:val="000B4822"/>
    <w:rsid w:val="000E7BD7"/>
    <w:rsid w:val="00105A85"/>
    <w:rsid w:val="00111F10"/>
    <w:rsid w:val="00162685"/>
    <w:rsid w:val="00186A86"/>
    <w:rsid w:val="00191C52"/>
    <w:rsid w:val="00195954"/>
    <w:rsid w:val="001A22EE"/>
    <w:rsid w:val="001C56EE"/>
    <w:rsid w:val="00230B87"/>
    <w:rsid w:val="00256C0F"/>
    <w:rsid w:val="002654E8"/>
    <w:rsid w:val="002816F2"/>
    <w:rsid w:val="002B1EF3"/>
    <w:rsid w:val="002E4311"/>
    <w:rsid w:val="003030EB"/>
    <w:rsid w:val="00307815"/>
    <w:rsid w:val="003212A6"/>
    <w:rsid w:val="003405FF"/>
    <w:rsid w:val="00345D91"/>
    <w:rsid w:val="003518CC"/>
    <w:rsid w:val="003863E5"/>
    <w:rsid w:val="00387DFC"/>
    <w:rsid w:val="003A6200"/>
    <w:rsid w:val="003B1313"/>
    <w:rsid w:val="003B405D"/>
    <w:rsid w:val="003C0DA6"/>
    <w:rsid w:val="003C679B"/>
    <w:rsid w:val="00404A31"/>
    <w:rsid w:val="00416F2A"/>
    <w:rsid w:val="004213A9"/>
    <w:rsid w:val="004254C5"/>
    <w:rsid w:val="0047026F"/>
    <w:rsid w:val="004A4AED"/>
    <w:rsid w:val="004B3ACD"/>
    <w:rsid w:val="004B5E41"/>
    <w:rsid w:val="004C544D"/>
    <w:rsid w:val="004D4FFB"/>
    <w:rsid w:val="00502ADD"/>
    <w:rsid w:val="00525E65"/>
    <w:rsid w:val="00533B16"/>
    <w:rsid w:val="0054392E"/>
    <w:rsid w:val="00580718"/>
    <w:rsid w:val="005B59AE"/>
    <w:rsid w:val="005C719A"/>
    <w:rsid w:val="005D4876"/>
    <w:rsid w:val="005E1AE7"/>
    <w:rsid w:val="00603AAC"/>
    <w:rsid w:val="00613ADB"/>
    <w:rsid w:val="006254AE"/>
    <w:rsid w:val="00631579"/>
    <w:rsid w:val="0065189E"/>
    <w:rsid w:val="00672C66"/>
    <w:rsid w:val="006824E8"/>
    <w:rsid w:val="00683FD9"/>
    <w:rsid w:val="006A5313"/>
    <w:rsid w:val="006F01B6"/>
    <w:rsid w:val="00734902"/>
    <w:rsid w:val="007400EE"/>
    <w:rsid w:val="0074625C"/>
    <w:rsid w:val="007832EF"/>
    <w:rsid w:val="007A274D"/>
    <w:rsid w:val="007A28C5"/>
    <w:rsid w:val="007A3FCE"/>
    <w:rsid w:val="007B266F"/>
    <w:rsid w:val="007C38C7"/>
    <w:rsid w:val="007D7AC9"/>
    <w:rsid w:val="007E527F"/>
    <w:rsid w:val="007F58C9"/>
    <w:rsid w:val="00803437"/>
    <w:rsid w:val="00804F36"/>
    <w:rsid w:val="00817677"/>
    <w:rsid w:val="008239B0"/>
    <w:rsid w:val="00824D55"/>
    <w:rsid w:val="00825C5E"/>
    <w:rsid w:val="00831834"/>
    <w:rsid w:val="008321D4"/>
    <w:rsid w:val="00845DF3"/>
    <w:rsid w:val="0084783B"/>
    <w:rsid w:val="0087051D"/>
    <w:rsid w:val="008805C5"/>
    <w:rsid w:val="0088188F"/>
    <w:rsid w:val="00885D95"/>
    <w:rsid w:val="008862BD"/>
    <w:rsid w:val="008A71F8"/>
    <w:rsid w:val="008D5BC1"/>
    <w:rsid w:val="008D7CD9"/>
    <w:rsid w:val="009209D1"/>
    <w:rsid w:val="00924476"/>
    <w:rsid w:val="009303F5"/>
    <w:rsid w:val="00956245"/>
    <w:rsid w:val="009765D2"/>
    <w:rsid w:val="009B4965"/>
    <w:rsid w:val="009C4D5A"/>
    <w:rsid w:val="009F1973"/>
    <w:rsid w:val="00A17F51"/>
    <w:rsid w:val="00A3519C"/>
    <w:rsid w:val="00A365D5"/>
    <w:rsid w:val="00A417D6"/>
    <w:rsid w:val="00A675AB"/>
    <w:rsid w:val="00A739D9"/>
    <w:rsid w:val="00A76092"/>
    <w:rsid w:val="00A91B3F"/>
    <w:rsid w:val="00A9718E"/>
    <w:rsid w:val="00AC3810"/>
    <w:rsid w:val="00AD1D63"/>
    <w:rsid w:val="00AE6062"/>
    <w:rsid w:val="00B11619"/>
    <w:rsid w:val="00B156CF"/>
    <w:rsid w:val="00B33012"/>
    <w:rsid w:val="00B41893"/>
    <w:rsid w:val="00B60D7B"/>
    <w:rsid w:val="00B772DA"/>
    <w:rsid w:val="00B7742A"/>
    <w:rsid w:val="00BA3366"/>
    <w:rsid w:val="00BA70E3"/>
    <w:rsid w:val="00BB76D1"/>
    <w:rsid w:val="00BC6CEE"/>
    <w:rsid w:val="00C3203E"/>
    <w:rsid w:val="00C60172"/>
    <w:rsid w:val="00C909A1"/>
    <w:rsid w:val="00C934EB"/>
    <w:rsid w:val="00CA1B79"/>
    <w:rsid w:val="00CB04B1"/>
    <w:rsid w:val="00CB1F46"/>
    <w:rsid w:val="00CC22D8"/>
    <w:rsid w:val="00CC606E"/>
    <w:rsid w:val="00CC715D"/>
    <w:rsid w:val="00CD4050"/>
    <w:rsid w:val="00CE4755"/>
    <w:rsid w:val="00CF43A7"/>
    <w:rsid w:val="00D63161"/>
    <w:rsid w:val="00D777B1"/>
    <w:rsid w:val="00D9530E"/>
    <w:rsid w:val="00DB673D"/>
    <w:rsid w:val="00DE2E26"/>
    <w:rsid w:val="00DF51BB"/>
    <w:rsid w:val="00E07133"/>
    <w:rsid w:val="00E36A76"/>
    <w:rsid w:val="00E631E9"/>
    <w:rsid w:val="00E91BFE"/>
    <w:rsid w:val="00EA15AF"/>
    <w:rsid w:val="00EA5977"/>
    <w:rsid w:val="00EC40E6"/>
    <w:rsid w:val="00ED7BCB"/>
    <w:rsid w:val="00F02C17"/>
    <w:rsid w:val="00F074ED"/>
    <w:rsid w:val="00F07918"/>
    <w:rsid w:val="00F1219D"/>
    <w:rsid w:val="00F32C36"/>
    <w:rsid w:val="00F408EE"/>
    <w:rsid w:val="00F43DFA"/>
    <w:rsid w:val="00F658A1"/>
    <w:rsid w:val="00FA5C63"/>
    <w:rsid w:val="00FA60BA"/>
    <w:rsid w:val="00FB01BB"/>
    <w:rsid w:val="00FB1E72"/>
    <w:rsid w:val="00FC307F"/>
    <w:rsid w:val="00FC573C"/>
    <w:rsid w:val="00FF0F7E"/>
    <w:rsid w:val="00FF396B"/>
    <w:rsid w:val="00FF72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A7E4"/>
  <w15:chartTrackingRefBased/>
  <w15:docId w15:val="{D5BDFEF7-F620-4205-AB4F-91F5F587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360" w:lineRule="auto"/>
        <w:ind w:left="57" w:firstLine="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345D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345D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olo3">
    <w:name w:val="heading 3"/>
    <w:basedOn w:val="Normale"/>
    <w:next w:val="Normale"/>
    <w:link w:val="Titolo3Carattere"/>
    <w:uiPriority w:val="9"/>
    <w:unhideWhenUsed/>
    <w:qFormat/>
    <w:rsid w:val="00345D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33B16"/>
    <w:pPr>
      <w:ind w:left="720"/>
      <w:contextualSpacing/>
    </w:pPr>
  </w:style>
  <w:style w:type="paragraph" w:styleId="NormaleWeb">
    <w:name w:val="Normal (Web)"/>
    <w:basedOn w:val="Normale"/>
    <w:uiPriority w:val="99"/>
    <w:semiHidden/>
    <w:unhideWhenUsed/>
    <w:rsid w:val="00ED7BC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ED7BCB"/>
    <w:rPr>
      <w:b/>
      <w:bCs/>
    </w:rPr>
  </w:style>
  <w:style w:type="paragraph" w:styleId="Pidipagina">
    <w:name w:val="footer"/>
    <w:basedOn w:val="Normale"/>
    <w:link w:val="PidipaginaCarattere"/>
    <w:uiPriority w:val="99"/>
    <w:unhideWhenUsed/>
    <w:rsid w:val="007B266F"/>
    <w:pPr>
      <w:tabs>
        <w:tab w:val="center" w:pos="4819"/>
        <w:tab w:val="right" w:pos="9638"/>
      </w:tabs>
      <w:suppressAutoHyphens/>
      <w:spacing w:after="0" w:line="100" w:lineRule="atLeast"/>
    </w:pPr>
    <w:rPr>
      <w:rFonts w:ascii="Times New Roman" w:eastAsia="Times New Roman" w:hAnsi="Times New Roman" w:cs="Times New Roman"/>
      <w:sz w:val="24"/>
      <w:szCs w:val="24"/>
      <w:lang w:val="x-none" w:eastAsia="ar-SA"/>
    </w:rPr>
  </w:style>
  <w:style w:type="character" w:customStyle="1" w:styleId="PidipaginaCarattere">
    <w:name w:val="Piè di pagina Carattere"/>
    <w:basedOn w:val="Carpredefinitoparagrafo"/>
    <w:link w:val="Pidipagina"/>
    <w:uiPriority w:val="99"/>
    <w:rsid w:val="007B266F"/>
    <w:rPr>
      <w:rFonts w:ascii="Times New Roman" w:eastAsia="Times New Roman" w:hAnsi="Times New Roman" w:cs="Times New Roman"/>
      <w:sz w:val="24"/>
      <w:szCs w:val="24"/>
      <w:lang w:val="x-none" w:eastAsia="ar-SA"/>
    </w:rPr>
  </w:style>
  <w:style w:type="paragraph" w:styleId="Intestazione">
    <w:name w:val="header"/>
    <w:basedOn w:val="Normale"/>
    <w:link w:val="IntestazioneCarattere"/>
    <w:uiPriority w:val="99"/>
    <w:unhideWhenUsed/>
    <w:rsid w:val="00017F9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17F9E"/>
  </w:style>
  <w:style w:type="paragraph" w:styleId="Nessunaspaziatura">
    <w:name w:val="No Spacing"/>
    <w:uiPriority w:val="1"/>
    <w:qFormat/>
    <w:rsid w:val="004254C5"/>
    <w:pPr>
      <w:spacing w:after="0" w:line="240" w:lineRule="auto"/>
    </w:pPr>
  </w:style>
  <w:style w:type="character" w:customStyle="1" w:styleId="Titolo1Carattere">
    <w:name w:val="Titolo 1 Carattere"/>
    <w:basedOn w:val="Carpredefinitoparagrafo"/>
    <w:link w:val="Titolo1"/>
    <w:uiPriority w:val="9"/>
    <w:rsid w:val="00345D91"/>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345D91"/>
    <w:rPr>
      <w:rFonts w:asciiTheme="majorHAnsi" w:eastAsiaTheme="majorEastAsia" w:hAnsiTheme="majorHAnsi" w:cstheme="majorBidi"/>
      <w:color w:val="2E74B5" w:themeColor="accent1" w:themeShade="BF"/>
      <w:sz w:val="26"/>
      <w:szCs w:val="26"/>
    </w:rPr>
  </w:style>
  <w:style w:type="character" w:customStyle="1" w:styleId="Titolo3Carattere">
    <w:name w:val="Titolo 3 Carattere"/>
    <w:basedOn w:val="Carpredefinitoparagrafo"/>
    <w:link w:val="Titolo3"/>
    <w:uiPriority w:val="9"/>
    <w:rsid w:val="00345D91"/>
    <w:rPr>
      <w:rFonts w:asciiTheme="majorHAnsi" w:eastAsiaTheme="majorEastAsia" w:hAnsiTheme="majorHAnsi" w:cstheme="majorBidi"/>
      <w:color w:val="1F4D78" w:themeColor="accent1" w:themeShade="7F"/>
      <w:sz w:val="24"/>
      <w:szCs w:val="24"/>
    </w:rPr>
  </w:style>
  <w:style w:type="paragraph" w:styleId="Titolo">
    <w:name w:val="Title"/>
    <w:basedOn w:val="Normale"/>
    <w:next w:val="Normale"/>
    <w:link w:val="TitoloCarattere"/>
    <w:uiPriority w:val="10"/>
    <w:qFormat/>
    <w:rsid w:val="00345D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45D91"/>
    <w:rPr>
      <w:rFonts w:asciiTheme="majorHAnsi" w:eastAsiaTheme="majorEastAsia" w:hAnsiTheme="majorHAnsi" w:cstheme="majorBidi"/>
      <w:spacing w:val="-10"/>
      <w:kern w:val="28"/>
      <w:sz w:val="56"/>
      <w:szCs w:val="56"/>
    </w:rPr>
  </w:style>
  <w:style w:type="paragraph" w:styleId="Citazioneintensa">
    <w:name w:val="Intense Quote"/>
    <w:basedOn w:val="Normale"/>
    <w:next w:val="Normale"/>
    <w:link w:val="CitazioneintensaCarattere"/>
    <w:uiPriority w:val="30"/>
    <w:qFormat/>
    <w:rsid w:val="00345D9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zioneintensaCarattere">
    <w:name w:val="Citazione intensa Carattere"/>
    <w:basedOn w:val="Carpredefinitoparagrafo"/>
    <w:link w:val="Citazioneintensa"/>
    <w:uiPriority w:val="30"/>
    <w:rsid w:val="00345D91"/>
    <w:rPr>
      <w:i/>
      <w:iCs/>
      <w:color w:val="5B9BD5" w:themeColor="accent1"/>
    </w:rPr>
  </w:style>
  <w:style w:type="paragraph" w:styleId="Testofumetto">
    <w:name w:val="Balloon Text"/>
    <w:basedOn w:val="Normale"/>
    <w:link w:val="TestofumettoCarattere"/>
    <w:uiPriority w:val="99"/>
    <w:semiHidden/>
    <w:unhideWhenUsed/>
    <w:rsid w:val="00416F2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16F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211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3537</Words>
  <Characters>20165</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Dell</cp:lastModifiedBy>
  <cp:revision>2</cp:revision>
  <cp:lastPrinted>2023-08-04T11:11:00Z</cp:lastPrinted>
  <dcterms:created xsi:type="dcterms:W3CDTF">2023-10-09T07:45:00Z</dcterms:created>
  <dcterms:modified xsi:type="dcterms:W3CDTF">2023-10-09T07:45:00Z</dcterms:modified>
</cp:coreProperties>
</file>